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E2" w:rsidRPr="007978E2" w:rsidRDefault="007978E2" w:rsidP="00CC6AC6">
      <w:pPr>
        <w:tabs>
          <w:tab w:val="left" w:pos="2463"/>
        </w:tabs>
        <w:jc w:val="center"/>
        <w:rPr>
          <w:b/>
          <w:sz w:val="22"/>
        </w:rPr>
      </w:pPr>
      <w:r w:rsidRPr="007978E2">
        <w:rPr>
          <w:b/>
          <w:sz w:val="22"/>
        </w:rPr>
        <w:t>Паспорт продукта «Тендерный Займ».</w:t>
      </w:r>
    </w:p>
    <w:p w:rsidR="00CE4472" w:rsidRDefault="00AD603D" w:rsidP="00CC6AC6">
      <w:pPr>
        <w:tabs>
          <w:tab w:val="left" w:pos="2463"/>
        </w:tabs>
        <w:jc w:val="center"/>
        <w:rPr>
          <w:b/>
          <w:sz w:val="22"/>
        </w:rPr>
      </w:pPr>
      <w:r w:rsidRPr="007978E2">
        <w:rPr>
          <w:b/>
          <w:sz w:val="22"/>
        </w:rPr>
        <w:t>Управляющая компания «ВЕЛЕС Менеджмент» (ООО «УК ВЕЛЕС Менеджмент»)</w:t>
      </w:r>
    </w:p>
    <w:p w:rsidR="007978E2" w:rsidRDefault="007978E2" w:rsidP="00200ABB">
      <w:pPr>
        <w:tabs>
          <w:tab w:val="left" w:pos="2463"/>
        </w:tabs>
        <w:rPr>
          <w:sz w:val="22"/>
        </w:rPr>
      </w:pPr>
    </w:p>
    <w:tbl>
      <w:tblPr>
        <w:tblW w:w="1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280"/>
        <w:gridCol w:w="8940"/>
      </w:tblGrid>
      <w:tr w:rsidR="007327EF" w:rsidRPr="00CE4472" w:rsidTr="0002734D">
        <w:trPr>
          <w:trHeight w:val="194"/>
          <w:jc w:val="center"/>
        </w:trPr>
        <w:tc>
          <w:tcPr>
            <w:tcW w:w="6280" w:type="dxa"/>
            <w:tcBorders>
              <w:bottom w:val="single" w:sz="4" w:space="0" w:color="auto"/>
            </w:tcBorders>
            <w:shd w:val="clear" w:color="auto" w:fill="auto"/>
            <w:tcMar>
              <w:top w:w="72" w:type="dxa"/>
              <w:left w:w="144" w:type="dxa"/>
              <w:bottom w:w="72" w:type="dxa"/>
              <w:right w:w="144" w:type="dxa"/>
            </w:tcMar>
            <w:vAlign w:val="center"/>
          </w:tcPr>
          <w:p w:rsidR="007327EF" w:rsidRPr="00CE4472" w:rsidRDefault="007327EF" w:rsidP="0002734D">
            <w:pPr>
              <w:jc w:val="center"/>
              <w:rPr>
                <w:rFonts w:eastAsia="DIN 2014"/>
                <w:color w:val="000000" w:themeColor="text1"/>
                <w:kern w:val="24"/>
                <w:sz w:val="22"/>
                <w:szCs w:val="22"/>
              </w:rPr>
            </w:pPr>
            <w:r w:rsidRPr="007327EF">
              <w:rPr>
                <w:rFonts w:eastAsia="Calibri"/>
                <w:b/>
                <w:bCs/>
                <w:color w:val="auto"/>
                <w:sz w:val="16"/>
                <w:szCs w:val="16"/>
                <w:lang w:eastAsia="en-US"/>
              </w:rPr>
              <w:t>БАЗОВЫЕ ТРЕБОВАНИЯ К ПРОДУКТУ</w:t>
            </w:r>
            <w:r w:rsidR="00F1560A">
              <w:rPr>
                <w:rFonts w:eastAsia="Calibri"/>
                <w:b/>
                <w:bCs/>
                <w:color w:val="auto"/>
                <w:sz w:val="16"/>
                <w:szCs w:val="16"/>
                <w:lang w:eastAsia="en-US"/>
              </w:rPr>
              <w:t>/ЗАЁМЩИКУ</w:t>
            </w:r>
          </w:p>
        </w:tc>
        <w:tc>
          <w:tcPr>
            <w:tcW w:w="8940" w:type="dxa"/>
            <w:tcBorders>
              <w:bottom w:val="single" w:sz="4" w:space="0" w:color="auto"/>
            </w:tcBorders>
            <w:shd w:val="clear" w:color="auto" w:fill="auto"/>
            <w:tcMar>
              <w:top w:w="72" w:type="dxa"/>
              <w:left w:w="144" w:type="dxa"/>
              <w:bottom w:w="72" w:type="dxa"/>
              <w:right w:w="144" w:type="dxa"/>
            </w:tcMar>
            <w:vAlign w:val="center"/>
          </w:tcPr>
          <w:p w:rsidR="007327EF" w:rsidRPr="00CE4472" w:rsidRDefault="007327EF" w:rsidP="0002734D">
            <w:pPr>
              <w:jc w:val="center"/>
              <w:rPr>
                <w:rFonts w:eastAsia="DIN 2014 Light"/>
                <w:color w:val="000000" w:themeColor="text1"/>
                <w:kern w:val="24"/>
                <w:sz w:val="22"/>
                <w:szCs w:val="22"/>
              </w:rPr>
            </w:pPr>
            <w:r w:rsidRPr="007327EF">
              <w:rPr>
                <w:rFonts w:eastAsia="Calibri"/>
                <w:b/>
                <w:bCs/>
                <w:color w:val="auto"/>
                <w:sz w:val="16"/>
                <w:szCs w:val="16"/>
                <w:lang w:eastAsia="en-US"/>
              </w:rPr>
              <w:t>НАИМЕНОВАНИЕ</w:t>
            </w:r>
          </w:p>
        </w:tc>
      </w:tr>
      <w:tr w:rsidR="0073501E" w:rsidRPr="00CE4472" w:rsidTr="0002734D">
        <w:trPr>
          <w:trHeight w:val="146"/>
          <w:jc w:val="center"/>
        </w:trPr>
        <w:tc>
          <w:tcPr>
            <w:tcW w:w="6280" w:type="dxa"/>
            <w:tcBorders>
              <w:bottom w:val="single" w:sz="4" w:space="0" w:color="auto"/>
              <w:right w:val="single" w:sz="4" w:space="0" w:color="auto"/>
            </w:tcBorders>
            <w:shd w:val="clear" w:color="auto" w:fill="auto"/>
            <w:tcMar>
              <w:top w:w="72" w:type="dxa"/>
              <w:left w:w="144" w:type="dxa"/>
              <w:bottom w:w="72" w:type="dxa"/>
              <w:right w:w="144" w:type="dxa"/>
            </w:tcMar>
            <w:vAlign w:val="center"/>
            <w:hideMark/>
          </w:tcPr>
          <w:p w:rsidR="0073501E" w:rsidRPr="00CE4472" w:rsidRDefault="0073501E" w:rsidP="00CC6AC6">
            <w:pPr>
              <w:rPr>
                <w:color w:val="auto"/>
                <w:sz w:val="22"/>
                <w:szCs w:val="22"/>
              </w:rPr>
            </w:pPr>
            <w:r w:rsidRPr="00CE4472">
              <w:rPr>
                <w:rFonts w:eastAsia="DIN 2014"/>
                <w:color w:val="000000" w:themeColor="text1"/>
                <w:kern w:val="24"/>
                <w:sz w:val="22"/>
                <w:szCs w:val="22"/>
              </w:rPr>
              <w:t>Сумма займа</w:t>
            </w:r>
          </w:p>
        </w:tc>
        <w:tc>
          <w:tcPr>
            <w:tcW w:w="894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73501E" w:rsidRPr="00CE4472" w:rsidRDefault="0073501E" w:rsidP="00CC6AC6">
            <w:pPr>
              <w:jc w:val="both"/>
              <w:rPr>
                <w:color w:val="auto"/>
                <w:sz w:val="22"/>
                <w:szCs w:val="22"/>
              </w:rPr>
            </w:pPr>
            <w:r w:rsidRPr="00CE4472">
              <w:rPr>
                <w:rFonts w:eastAsia="DIN 2014 Light"/>
                <w:color w:val="000000" w:themeColor="text1"/>
                <w:kern w:val="24"/>
                <w:sz w:val="22"/>
                <w:szCs w:val="22"/>
              </w:rPr>
              <w:t>От 10 000 руб. до 45 000 000 руб.</w:t>
            </w:r>
          </w:p>
        </w:tc>
      </w:tr>
      <w:tr w:rsidR="005A310A" w:rsidRPr="00CE4472" w:rsidTr="0002734D">
        <w:trPr>
          <w:trHeight w:val="110"/>
          <w:jc w:val="center"/>
        </w:trPr>
        <w:tc>
          <w:tcPr>
            <w:tcW w:w="6280" w:type="dxa"/>
            <w:tcBorders>
              <w:top w:val="single" w:sz="4" w:space="0" w:color="auto"/>
            </w:tcBorders>
            <w:shd w:val="clear" w:color="auto" w:fill="auto"/>
            <w:tcMar>
              <w:top w:w="72" w:type="dxa"/>
              <w:left w:w="144" w:type="dxa"/>
              <w:bottom w:w="72" w:type="dxa"/>
              <w:right w:w="144" w:type="dxa"/>
            </w:tcMar>
            <w:vAlign w:val="center"/>
            <w:hideMark/>
          </w:tcPr>
          <w:p w:rsidR="005A310A" w:rsidRPr="00CE4472" w:rsidRDefault="005A310A" w:rsidP="00CC6AC6">
            <w:pPr>
              <w:rPr>
                <w:color w:val="auto"/>
                <w:sz w:val="22"/>
                <w:szCs w:val="22"/>
              </w:rPr>
            </w:pPr>
            <w:r w:rsidRPr="00CE4472">
              <w:rPr>
                <w:rFonts w:eastAsia="DIN 2014"/>
                <w:color w:val="000000" w:themeColor="text1"/>
                <w:kern w:val="24"/>
                <w:sz w:val="22"/>
                <w:szCs w:val="22"/>
              </w:rPr>
              <w:t>Срок займа</w:t>
            </w:r>
          </w:p>
        </w:tc>
        <w:tc>
          <w:tcPr>
            <w:tcW w:w="8940" w:type="dxa"/>
            <w:shd w:val="clear" w:color="auto" w:fill="auto"/>
            <w:tcMar>
              <w:top w:w="72" w:type="dxa"/>
              <w:left w:w="144" w:type="dxa"/>
              <w:bottom w:w="72" w:type="dxa"/>
              <w:right w:w="144" w:type="dxa"/>
            </w:tcMar>
            <w:vAlign w:val="center"/>
            <w:hideMark/>
          </w:tcPr>
          <w:p w:rsidR="005A310A" w:rsidRPr="00CE4472" w:rsidRDefault="005A310A" w:rsidP="00CC6AC6">
            <w:pPr>
              <w:jc w:val="both"/>
              <w:rPr>
                <w:color w:val="auto"/>
                <w:sz w:val="22"/>
                <w:szCs w:val="22"/>
              </w:rPr>
            </w:pPr>
            <w:r w:rsidRPr="00CE4472">
              <w:rPr>
                <w:rFonts w:eastAsia="DIN 2014 Light"/>
                <w:color w:val="000000" w:themeColor="text1"/>
                <w:kern w:val="24"/>
                <w:sz w:val="22"/>
                <w:szCs w:val="22"/>
              </w:rPr>
              <w:t>40 дней</w:t>
            </w:r>
          </w:p>
        </w:tc>
      </w:tr>
      <w:tr w:rsidR="007173E5" w:rsidRPr="00CE4472" w:rsidTr="00F00CEC">
        <w:trPr>
          <w:trHeight w:val="2674"/>
          <w:jc w:val="center"/>
        </w:trPr>
        <w:tc>
          <w:tcPr>
            <w:tcW w:w="6280" w:type="dxa"/>
            <w:shd w:val="clear" w:color="auto" w:fill="auto"/>
            <w:tcMar>
              <w:top w:w="72" w:type="dxa"/>
              <w:left w:w="144" w:type="dxa"/>
              <w:bottom w:w="72" w:type="dxa"/>
              <w:right w:w="144" w:type="dxa"/>
            </w:tcMar>
            <w:vAlign w:val="center"/>
          </w:tcPr>
          <w:p w:rsidR="00256549" w:rsidRPr="00256549" w:rsidRDefault="00256549" w:rsidP="00CC6AC6">
            <w:pPr>
              <w:rPr>
                <w:rFonts w:eastAsia="DIN 2014 Light"/>
                <w:color w:val="000000" w:themeColor="text1"/>
                <w:kern w:val="24"/>
                <w:sz w:val="22"/>
                <w:szCs w:val="22"/>
              </w:rPr>
            </w:pPr>
            <w:r w:rsidRPr="00256549">
              <w:rPr>
                <w:rFonts w:eastAsia="DIN 2014 Light"/>
                <w:color w:val="000000" w:themeColor="text1"/>
                <w:kern w:val="24"/>
                <w:sz w:val="22"/>
                <w:szCs w:val="22"/>
              </w:rPr>
              <w:t>Базовые нетто</w:t>
            </w:r>
            <w:r w:rsidR="00CC6AC6">
              <w:rPr>
                <w:rFonts w:eastAsia="DIN 2014 Light"/>
                <w:color w:val="000000" w:themeColor="text1"/>
                <w:kern w:val="24"/>
                <w:sz w:val="22"/>
                <w:szCs w:val="22"/>
              </w:rPr>
              <w:t>-ставки</w:t>
            </w:r>
            <w:r w:rsidRPr="00256549">
              <w:rPr>
                <w:rFonts w:eastAsia="DIN 2014 Light"/>
                <w:color w:val="000000" w:themeColor="text1"/>
                <w:kern w:val="24"/>
                <w:sz w:val="22"/>
                <w:szCs w:val="22"/>
              </w:rPr>
              <w:t xml:space="preserve"> для агентов:</w:t>
            </w:r>
          </w:p>
          <w:p w:rsidR="007173E5" w:rsidRPr="00CE4472" w:rsidRDefault="007173E5" w:rsidP="00CC6AC6">
            <w:pPr>
              <w:rPr>
                <w:rFonts w:eastAsia="DIN 2014"/>
                <w:color w:val="000000" w:themeColor="text1"/>
                <w:kern w:val="24"/>
                <w:sz w:val="22"/>
                <w:szCs w:val="22"/>
              </w:rPr>
            </w:pPr>
          </w:p>
        </w:tc>
        <w:tc>
          <w:tcPr>
            <w:tcW w:w="8940" w:type="dxa"/>
            <w:shd w:val="clear" w:color="auto" w:fill="auto"/>
            <w:tcMar>
              <w:top w:w="72" w:type="dxa"/>
              <w:left w:w="144" w:type="dxa"/>
              <w:bottom w:w="72" w:type="dxa"/>
              <w:right w:w="144" w:type="dxa"/>
            </w:tcMar>
            <w:vAlign w:val="center"/>
          </w:tcPr>
          <w:p w:rsidR="00CC6AC6" w:rsidRDefault="00CC6AC6" w:rsidP="00CC6AC6">
            <w:pPr>
              <w:rPr>
                <w:rFonts w:eastAsia="DIN 2014 Light"/>
                <w:color w:val="000000" w:themeColor="text1"/>
                <w:kern w:val="24"/>
                <w:sz w:val="22"/>
                <w:szCs w:val="22"/>
              </w:rPr>
            </w:pPr>
            <w:r>
              <w:rPr>
                <w:rFonts w:eastAsia="DIN 2014 Light"/>
                <w:color w:val="000000" w:themeColor="text1"/>
                <w:kern w:val="24"/>
                <w:sz w:val="22"/>
                <w:szCs w:val="22"/>
              </w:rPr>
              <w:t>Размер нетто-ставки зависит от банка, в котором у клиента открыт спецсчет:</w:t>
            </w:r>
          </w:p>
          <w:p w:rsidR="00CC6AC6" w:rsidRDefault="00CC6AC6" w:rsidP="00CC6AC6">
            <w:pPr>
              <w:pStyle w:val="a4"/>
              <w:numPr>
                <w:ilvl w:val="0"/>
                <w:numId w:val="14"/>
              </w:numPr>
              <w:rPr>
                <w:rFonts w:eastAsia="DIN 2014 Light"/>
                <w:color w:val="000000" w:themeColor="text1"/>
                <w:kern w:val="24"/>
                <w:sz w:val="22"/>
                <w:szCs w:val="22"/>
              </w:rPr>
            </w:pPr>
            <w:r>
              <w:rPr>
                <w:rFonts w:eastAsia="DIN 2014 Light"/>
                <w:color w:val="000000" w:themeColor="text1"/>
                <w:kern w:val="24"/>
                <w:sz w:val="22"/>
                <w:szCs w:val="22"/>
              </w:rPr>
              <w:t xml:space="preserve">Промсвязьбанк – </w:t>
            </w:r>
            <w:r w:rsidR="00256549" w:rsidRPr="00CC6AC6">
              <w:rPr>
                <w:rFonts w:eastAsia="DIN 2014 Light"/>
                <w:color w:val="000000" w:themeColor="text1"/>
                <w:kern w:val="24"/>
                <w:sz w:val="22"/>
                <w:szCs w:val="22"/>
              </w:rPr>
              <w:t>от 2,8%</w:t>
            </w:r>
            <w:r>
              <w:rPr>
                <w:rFonts w:eastAsia="DIN 2014 Light"/>
                <w:color w:val="000000" w:themeColor="text1"/>
                <w:kern w:val="24"/>
                <w:sz w:val="22"/>
                <w:szCs w:val="22"/>
              </w:rPr>
              <w:t xml:space="preserve"> от суммы займа.</w:t>
            </w:r>
          </w:p>
          <w:p w:rsidR="00CC6AC6" w:rsidRDefault="00256549" w:rsidP="00CC6AC6">
            <w:pPr>
              <w:pStyle w:val="a4"/>
              <w:numPr>
                <w:ilvl w:val="0"/>
                <w:numId w:val="14"/>
              </w:numPr>
              <w:rPr>
                <w:rFonts w:eastAsia="DIN 2014 Light"/>
                <w:color w:val="000000" w:themeColor="text1"/>
                <w:kern w:val="24"/>
                <w:sz w:val="22"/>
                <w:szCs w:val="22"/>
              </w:rPr>
            </w:pPr>
            <w:r w:rsidRPr="00CC6AC6">
              <w:rPr>
                <w:rFonts w:eastAsia="DIN 2014 Light"/>
                <w:color w:val="000000" w:themeColor="text1"/>
                <w:kern w:val="24"/>
                <w:sz w:val="22"/>
                <w:szCs w:val="22"/>
              </w:rPr>
              <w:t>Сбербанк</w:t>
            </w:r>
            <w:r w:rsidR="00CC6AC6">
              <w:rPr>
                <w:rFonts w:eastAsia="DIN 2014 Light"/>
                <w:color w:val="000000" w:themeColor="text1"/>
                <w:kern w:val="24"/>
                <w:sz w:val="22"/>
                <w:szCs w:val="22"/>
              </w:rPr>
              <w:t xml:space="preserve"> – </w:t>
            </w:r>
            <w:r w:rsidRPr="00CC6AC6">
              <w:rPr>
                <w:rFonts w:eastAsia="DIN 2014 Light"/>
                <w:color w:val="000000" w:themeColor="text1"/>
                <w:kern w:val="24"/>
                <w:sz w:val="22"/>
                <w:szCs w:val="22"/>
              </w:rPr>
              <w:t>от 2,8%</w:t>
            </w:r>
            <w:r w:rsidR="00CC6AC6">
              <w:rPr>
                <w:rFonts w:eastAsia="DIN 2014 Light"/>
                <w:color w:val="000000" w:themeColor="text1"/>
                <w:kern w:val="24"/>
                <w:sz w:val="22"/>
                <w:szCs w:val="22"/>
              </w:rPr>
              <w:t xml:space="preserve"> от суммы займа.</w:t>
            </w:r>
          </w:p>
          <w:p w:rsidR="00CC6AC6" w:rsidRDefault="00256549" w:rsidP="00CC6AC6">
            <w:pPr>
              <w:pStyle w:val="a4"/>
              <w:numPr>
                <w:ilvl w:val="0"/>
                <w:numId w:val="14"/>
              </w:numPr>
              <w:rPr>
                <w:rFonts w:eastAsia="DIN 2014 Light"/>
                <w:color w:val="000000" w:themeColor="text1"/>
                <w:kern w:val="24"/>
                <w:sz w:val="22"/>
                <w:szCs w:val="22"/>
              </w:rPr>
            </w:pPr>
            <w:r w:rsidRPr="00CC6AC6">
              <w:rPr>
                <w:rFonts w:eastAsia="DIN 2014 Light"/>
                <w:color w:val="000000" w:themeColor="text1"/>
                <w:kern w:val="24"/>
                <w:sz w:val="22"/>
                <w:szCs w:val="22"/>
              </w:rPr>
              <w:t>Точка</w:t>
            </w:r>
            <w:r w:rsidR="00CC6AC6">
              <w:rPr>
                <w:rFonts w:eastAsia="DIN 2014 Light"/>
                <w:color w:val="000000" w:themeColor="text1"/>
                <w:kern w:val="24"/>
                <w:sz w:val="22"/>
                <w:szCs w:val="22"/>
              </w:rPr>
              <w:t xml:space="preserve"> банк –</w:t>
            </w:r>
            <w:r w:rsidRPr="00CC6AC6">
              <w:rPr>
                <w:rFonts w:eastAsia="DIN 2014 Light"/>
                <w:color w:val="000000" w:themeColor="text1"/>
                <w:kern w:val="24"/>
                <w:sz w:val="22"/>
                <w:szCs w:val="22"/>
              </w:rPr>
              <w:t xml:space="preserve"> от 2,8%</w:t>
            </w:r>
            <w:r w:rsidR="00CC6AC6">
              <w:rPr>
                <w:rFonts w:eastAsia="DIN 2014 Light"/>
                <w:color w:val="000000" w:themeColor="text1"/>
                <w:kern w:val="24"/>
                <w:sz w:val="22"/>
                <w:szCs w:val="22"/>
              </w:rPr>
              <w:t xml:space="preserve"> от суммы займа.</w:t>
            </w:r>
          </w:p>
          <w:p w:rsidR="00256549" w:rsidRDefault="00CC6AC6" w:rsidP="00CC6AC6">
            <w:pPr>
              <w:pStyle w:val="a4"/>
              <w:numPr>
                <w:ilvl w:val="0"/>
                <w:numId w:val="14"/>
              </w:numPr>
              <w:rPr>
                <w:rFonts w:eastAsia="DIN 2014 Light"/>
                <w:color w:val="000000" w:themeColor="text1"/>
                <w:kern w:val="24"/>
                <w:sz w:val="22"/>
                <w:szCs w:val="22"/>
              </w:rPr>
            </w:pPr>
            <w:r>
              <w:rPr>
                <w:rFonts w:eastAsia="DIN 2014 Light"/>
                <w:color w:val="000000" w:themeColor="text1"/>
                <w:kern w:val="24"/>
                <w:sz w:val="22"/>
                <w:szCs w:val="22"/>
              </w:rPr>
              <w:t>Альфа-</w:t>
            </w:r>
            <w:r w:rsidR="00256549" w:rsidRPr="00CC6AC6">
              <w:rPr>
                <w:rFonts w:eastAsia="DIN 2014 Light"/>
                <w:color w:val="000000" w:themeColor="text1"/>
                <w:kern w:val="24"/>
                <w:sz w:val="22"/>
                <w:szCs w:val="22"/>
              </w:rPr>
              <w:t>банк</w:t>
            </w:r>
            <w:r>
              <w:rPr>
                <w:rFonts w:eastAsia="DIN 2014 Light"/>
                <w:color w:val="000000" w:themeColor="text1"/>
                <w:kern w:val="24"/>
                <w:sz w:val="22"/>
                <w:szCs w:val="22"/>
              </w:rPr>
              <w:t xml:space="preserve"> – от</w:t>
            </w:r>
            <w:r w:rsidR="00256549" w:rsidRPr="00CC6AC6">
              <w:rPr>
                <w:rFonts w:eastAsia="DIN 2014 Light"/>
                <w:color w:val="000000" w:themeColor="text1"/>
                <w:kern w:val="24"/>
                <w:sz w:val="22"/>
                <w:szCs w:val="22"/>
              </w:rPr>
              <w:t xml:space="preserve"> 3,5%</w:t>
            </w:r>
            <w:r>
              <w:rPr>
                <w:rFonts w:eastAsia="DIN 2014 Light"/>
                <w:color w:val="000000" w:themeColor="text1"/>
                <w:kern w:val="24"/>
                <w:sz w:val="22"/>
                <w:szCs w:val="22"/>
              </w:rPr>
              <w:t xml:space="preserve"> от суммы займа.</w:t>
            </w:r>
          </w:p>
          <w:p w:rsidR="00CC6AC6" w:rsidRDefault="00CC6AC6" w:rsidP="00CC6AC6">
            <w:pPr>
              <w:rPr>
                <w:rFonts w:eastAsia="DIN 2014 Light"/>
                <w:color w:val="000000" w:themeColor="text1"/>
                <w:kern w:val="24"/>
                <w:sz w:val="22"/>
                <w:szCs w:val="22"/>
              </w:rPr>
            </w:pPr>
          </w:p>
          <w:p w:rsidR="00CC6AC6" w:rsidRDefault="00CC6AC6" w:rsidP="00CC6AC6">
            <w:pPr>
              <w:rPr>
                <w:rFonts w:eastAsia="DIN 2014 Light"/>
                <w:color w:val="000000" w:themeColor="text1"/>
                <w:kern w:val="24"/>
                <w:sz w:val="22"/>
                <w:szCs w:val="22"/>
              </w:rPr>
            </w:pPr>
            <w:r>
              <w:rPr>
                <w:rFonts w:eastAsia="DIN 2014 Light"/>
                <w:color w:val="000000" w:themeColor="text1"/>
                <w:kern w:val="24"/>
                <w:sz w:val="22"/>
                <w:szCs w:val="22"/>
              </w:rPr>
              <w:t>Размер нетто-ставки для процедур, по которым требуется обеспечение и проходящих на площадках:</w:t>
            </w:r>
          </w:p>
          <w:p w:rsidR="00CC6AC6" w:rsidRDefault="00CC6AC6" w:rsidP="00CC6AC6">
            <w:pPr>
              <w:pStyle w:val="a4"/>
              <w:numPr>
                <w:ilvl w:val="0"/>
                <w:numId w:val="15"/>
              </w:numPr>
              <w:rPr>
                <w:rFonts w:eastAsia="DIN 2014 Light"/>
                <w:color w:val="000000" w:themeColor="text1"/>
                <w:kern w:val="24"/>
                <w:sz w:val="22"/>
                <w:szCs w:val="22"/>
              </w:rPr>
            </w:pPr>
            <w:r>
              <w:rPr>
                <w:rFonts w:eastAsia="DIN 2014 Light"/>
                <w:color w:val="000000" w:themeColor="text1"/>
                <w:kern w:val="24"/>
                <w:sz w:val="22"/>
                <w:szCs w:val="22"/>
              </w:rPr>
              <w:t>ЭТП.рф – от 3,0% от суммы займа.</w:t>
            </w:r>
          </w:p>
          <w:p w:rsidR="007173E5" w:rsidRPr="00CC6AC6" w:rsidRDefault="00256549" w:rsidP="00CC6AC6">
            <w:pPr>
              <w:pStyle w:val="a4"/>
              <w:numPr>
                <w:ilvl w:val="0"/>
                <w:numId w:val="15"/>
              </w:numPr>
              <w:rPr>
                <w:rFonts w:eastAsia="DIN 2014 Light"/>
                <w:color w:val="000000" w:themeColor="text1"/>
                <w:kern w:val="24"/>
                <w:sz w:val="22"/>
                <w:szCs w:val="22"/>
              </w:rPr>
            </w:pPr>
            <w:r w:rsidRPr="00CC6AC6">
              <w:rPr>
                <w:rFonts w:eastAsia="DIN 2014 Light"/>
                <w:color w:val="000000" w:themeColor="text1"/>
                <w:kern w:val="24"/>
                <w:sz w:val="22"/>
                <w:szCs w:val="22"/>
              </w:rPr>
              <w:t xml:space="preserve">ЭТП НЭП </w:t>
            </w:r>
            <w:r w:rsidR="00CC6AC6">
              <w:rPr>
                <w:rFonts w:eastAsia="DIN 2014 Light"/>
                <w:color w:val="000000" w:themeColor="text1"/>
                <w:kern w:val="24"/>
                <w:sz w:val="22"/>
                <w:szCs w:val="22"/>
              </w:rPr>
              <w:t>(</w:t>
            </w:r>
            <w:r w:rsidRPr="00CC6AC6">
              <w:rPr>
                <w:rFonts w:eastAsia="DIN 2014 Light"/>
                <w:color w:val="000000" w:themeColor="text1"/>
                <w:kern w:val="24"/>
                <w:sz w:val="22"/>
                <w:szCs w:val="22"/>
              </w:rPr>
              <w:t>615</w:t>
            </w:r>
            <w:r w:rsidR="00CC6AC6">
              <w:rPr>
                <w:rFonts w:eastAsia="DIN 2014 Light"/>
                <w:color w:val="000000" w:themeColor="text1"/>
                <w:kern w:val="24"/>
                <w:sz w:val="22"/>
                <w:szCs w:val="22"/>
              </w:rPr>
              <w:t>-</w:t>
            </w:r>
            <w:r w:rsidRPr="00CC6AC6">
              <w:rPr>
                <w:rFonts w:eastAsia="DIN 2014 Light"/>
                <w:color w:val="000000" w:themeColor="text1"/>
                <w:kern w:val="24"/>
                <w:sz w:val="22"/>
                <w:szCs w:val="22"/>
              </w:rPr>
              <w:t>пп</w:t>
            </w:r>
            <w:r w:rsidR="00CC6AC6">
              <w:rPr>
                <w:rFonts w:eastAsia="DIN 2014 Light"/>
                <w:color w:val="000000" w:themeColor="text1"/>
                <w:kern w:val="24"/>
                <w:sz w:val="22"/>
                <w:szCs w:val="22"/>
              </w:rPr>
              <w:t xml:space="preserve">) – </w:t>
            </w:r>
            <w:r w:rsidRPr="00CC6AC6">
              <w:rPr>
                <w:rFonts w:eastAsia="DIN 2014 Light"/>
                <w:color w:val="000000" w:themeColor="text1"/>
                <w:kern w:val="24"/>
                <w:sz w:val="22"/>
                <w:szCs w:val="22"/>
              </w:rPr>
              <w:t>от 3,0%</w:t>
            </w:r>
            <w:r w:rsidR="00CC6AC6">
              <w:rPr>
                <w:rFonts w:eastAsia="DIN 2014 Light"/>
                <w:color w:val="000000" w:themeColor="text1"/>
                <w:kern w:val="24"/>
                <w:sz w:val="22"/>
                <w:szCs w:val="22"/>
              </w:rPr>
              <w:t xml:space="preserve"> от суммы займа.</w:t>
            </w:r>
          </w:p>
        </w:tc>
      </w:tr>
      <w:tr w:rsidR="005A310A" w:rsidRPr="00CE4472" w:rsidTr="00F00CEC">
        <w:trPr>
          <w:trHeight w:val="306"/>
          <w:jc w:val="center"/>
        </w:trPr>
        <w:tc>
          <w:tcPr>
            <w:tcW w:w="6280" w:type="dxa"/>
            <w:shd w:val="clear" w:color="auto" w:fill="auto"/>
            <w:tcMar>
              <w:top w:w="72" w:type="dxa"/>
              <w:left w:w="144" w:type="dxa"/>
              <w:bottom w:w="72" w:type="dxa"/>
              <w:right w:w="144" w:type="dxa"/>
            </w:tcMar>
            <w:vAlign w:val="center"/>
            <w:hideMark/>
          </w:tcPr>
          <w:p w:rsidR="005A310A" w:rsidRPr="00CE4472" w:rsidRDefault="005A310A" w:rsidP="00CC6AC6">
            <w:pPr>
              <w:rPr>
                <w:color w:val="auto"/>
                <w:sz w:val="22"/>
                <w:szCs w:val="22"/>
              </w:rPr>
            </w:pPr>
            <w:r w:rsidRPr="00CE4472">
              <w:rPr>
                <w:rFonts w:eastAsia="DIN 2014"/>
                <w:color w:val="000000" w:themeColor="text1"/>
                <w:kern w:val="24"/>
                <w:sz w:val="22"/>
                <w:szCs w:val="22"/>
              </w:rPr>
              <w:t>Максимальная сумма займа</w:t>
            </w:r>
          </w:p>
        </w:tc>
        <w:tc>
          <w:tcPr>
            <w:tcW w:w="8940" w:type="dxa"/>
            <w:shd w:val="clear" w:color="auto" w:fill="auto"/>
            <w:tcMar>
              <w:top w:w="72" w:type="dxa"/>
              <w:left w:w="144" w:type="dxa"/>
              <w:bottom w:w="72" w:type="dxa"/>
              <w:right w:w="144" w:type="dxa"/>
            </w:tcMar>
            <w:vAlign w:val="center"/>
            <w:hideMark/>
          </w:tcPr>
          <w:p w:rsidR="005A310A" w:rsidRPr="00CE4472" w:rsidRDefault="005A310A" w:rsidP="00CC6AC6">
            <w:pPr>
              <w:rPr>
                <w:color w:val="auto"/>
                <w:sz w:val="22"/>
                <w:szCs w:val="22"/>
              </w:rPr>
            </w:pPr>
            <w:r w:rsidRPr="00CE4472">
              <w:rPr>
                <w:rFonts w:eastAsia="DIN 2014 Light"/>
                <w:color w:val="000000" w:themeColor="text1"/>
                <w:kern w:val="24"/>
                <w:sz w:val="22"/>
                <w:szCs w:val="22"/>
              </w:rPr>
              <w:t>Сумма займа не может превышать сумму обеспечения заявки на участие в выбранном заемщиком электронном аукционе</w:t>
            </w:r>
          </w:p>
        </w:tc>
      </w:tr>
      <w:tr w:rsidR="005A310A" w:rsidRPr="00CE4472" w:rsidTr="0020099A">
        <w:trPr>
          <w:trHeight w:val="456"/>
          <w:jc w:val="center"/>
        </w:trPr>
        <w:tc>
          <w:tcPr>
            <w:tcW w:w="6280" w:type="dxa"/>
            <w:shd w:val="clear" w:color="auto" w:fill="auto"/>
            <w:tcMar>
              <w:top w:w="72" w:type="dxa"/>
              <w:left w:w="144" w:type="dxa"/>
              <w:bottom w:w="72" w:type="dxa"/>
              <w:right w:w="144" w:type="dxa"/>
            </w:tcMar>
            <w:vAlign w:val="center"/>
            <w:hideMark/>
          </w:tcPr>
          <w:p w:rsidR="005A310A" w:rsidRPr="00CE4472" w:rsidRDefault="005A310A" w:rsidP="00CC6AC6">
            <w:pPr>
              <w:rPr>
                <w:color w:val="auto"/>
                <w:sz w:val="22"/>
                <w:szCs w:val="22"/>
              </w:rPr>
            </w:pPr>
            <w:r w:rsidRPr="00CE4472">
              <w:rPr>
                <w:rFonts w:eastAsia="DIN 2014"/>
                <w:color w:val="000000" w:themeColor="text1"/>
                <w:kern w:val="24"/>
                <w:sz w:val="22"/>
                <w:szCs w:val="22"/>
              </w:rPr>
              <w:t>Возможность пролонгации</w:t>
            </w:r>
          </w:p>
        </w:tc>
        <w:tc>
          <w:tcPr>
            <w:tcW w:w="8940" w:type="dxa"/>
            <w:shd w:val="clear" w:color="auto" w:fill="auto"/>
            <w:tcMar>
              <w:top w:w="72" w:type="dxa"/>
              <w:left w:w="144" w:type="dxa"/>
              <w:bottom w:w="72" w:type="dxa"/>
              <w:right w:w="144" w:type="dxa"/>
            </w:tcMar>
            <w:vAlign w:val="center"/>
            <w:hideMark/>
          </w:tcPr>
          <w:p w:rsidR="005A310A" w:rsidRPr="0098126C" w:rsidRDefault="006E638D" w:rsidP="001F1D7D">
            <w:pPr>
              <w:pStyle w:val="a4"/>
              <w:rPr>
                <w:sz w:val="22"/>
                <w:szCs w:val="22"/>
              </w:rPr>
            </w:pPr>
            <w:r>
              <w:rPr>
                <w:sz w:val="22"/>
                <w:szCs w:val="22"/>
              </w:rPr>
              <w:t>Рассматривается в индивидуальном порядке</w:t>
            </w:r>
          </w:p>
        </w:tc>
      </w:tr>
      <w:tr w:rsidR="005A310A" w:rsidRPr="00CE4472" w:rsidTr="003B2F51">
        <w:trPr>
          <w:trHeight w:val="208"/>
          <w:jc w:val="center"/>
        </w:trPr>
        <w:tc>
          <w:tcPr>
            <w:tcW w:w="6280" w:type="dxa"/>
            <w:shd w:val="clear" w:color="auto" w:fill="auto"/>
            <w:tcMar>
              <w:top w:w="72" w:type="dxa"/>
              <w:left w:w="144" w:type="dxa"/>
              <w:bottom w:w="72" w:type="dxa"/>
              <w:right w:w="144" w:type="dxa"/>
            </w:tcMar>
            <w:vAlign w:val="center"/>
            <w:hideMark/>
          </w:tcPr>
          <w:p w:rsidR="005A310A" w:rsidRPr="00CE4472" w:rsidRDefault="005A310A" w:rsidP="00CC6AC6">
            <w:pPr>
              <w:rPr>
                <w:color w:val="auto"/>
                <w:sz w:val="22"/>
                <w:szCs w:val="22"/>
              </w:rPr>
            </w:pPr>
            <w:r w:rsidRPr="00CE4472">
              <w:rPr>
                <w:rFonts w:eastAsia="DIN 2014"/>
                <w:color w:val="000000" w:themeColor="text1"/>
                <w:kern w:val="24"/>
                <w:sz w:val="22"/>
                <w:szCs w:val="22"/>
              </w:rPr>
              <w:t xml:space="preserve">Минимальный срок регистрации компании заемщика </w:t>
            </w:r>
          </w:p>
        </w:tc>
        <w:tc>
          <w:tcPr>
            <w:tcW w:w="8940" w:type="dxa"/>
            <w:shd w:val="clear" w:color="auto" w:fill="auto"/>
            <w:tcMar>
              <w:top w:w="72" w:type="dxa"/>
              <w:left w:w="144" w:type="dxa"/>
              <w:bottom w:w="72" w:type="dxa"/>
              <w:right w:w="144" w:type="dxa"/>
            </w:tcMar>
            <w:vAlign w:val="center"/>
            <w:hideMark/>
          </w:tcPr>
          <w:p w:rsidR="005A310A" w:rsidRPr="00CE4472" w:rsidRDefault="00954569" w:rsidP="00CC6AC6">
            <w:pPr>
              <w:rPr>
                <w:color w:val="auto"/>
                <w:sz w:val="22"/>
                <w:szCs w:val="22"/>
              </w:rPr>
            </w:pPr>
            <w:r>
              <w:rPr>
                <w:rFonts w:eastAsia="DIN 2014 Light"/>
                <w:color w:val="000000" w:themeColor="text1"/>
                <w:kern w:val="24"/>
                <w:sz w:val="22"/>
                <w:szCs w:val="22"/>
              </w:rPr>
              <w:t>180 календарных дней</w:t>
            </w:r>
          </w:p>
        </w:tc>
      </w:tr>
      <w:tr w:rsidR="005A310A" w:rsidRPr="00CE4472" w:rsidTr="00F00CEC">
        <w:trPr>
          <w:trHeight w:val="653"/>
          <w:jc w:val="center"/>
        </w:trPr>
        <w:tc>
          <w:tcPr>
            <w:tcW w:w="6280" w:type="dxa"/>
            <w:shd w:val="clear" w:color="auto" w:fill="auto"/>
            <w:tcMar>
              <w:top w:w="72" w:type="dxa"/>
              <w:left w:w="144" w:type="dxa"/>
              <w:bottom w:w="72" w:type="dxa"/>
              <w:right w:w="144" w:type="dxa"/>
            </w:tcMar>
            <w:vAlign w:val="center"/>
            <w:hideMark/>
          </w:tcPr>
          <w:p w:rsidR="005A310A" w:rsidRPr="00CE4472" w:rsidRDefault="00F00CEC" w:rsidP="00CC6AC6">
            <w:pPr>
              <w:rPr>
                <w:color w:val="auto"/>
                <w:sz w:val="36"/>
                <w:szCs w:val="36"/>
              </w:rPr>
            </w:pPr>
            <w:r>
              <w:rPr>
                <w:rFonts w:eastAsia="DIN 2014"/>
                <w:color w:val="000000" w:themeColor="text1"/>
                <w:kern w:val="24"/>
                <w:sz w:val="22"/>
                <w:szCs w:val="22"/>
              </w:rPr>
              <w:t>Законы</w:t>
            </w:r>
          </w:p>
        </w:tc>
        <w:tc>
          <w:tcPr>
            <w:tcW w:w="8940" w:type="dxa"/>
            <w:shd w:val="clear" w:color="auto" w:fill="auto"/>
            <w:tcMar>
              <w:top w:w="72" w:type="dxa"/>
              <w:left w:w="144" w:type="dxa"/>
              <w:bottom w:w="72" w:type="dxa"/>
              <w:right w:w="144" w:type="dxa"/>
            </w:tcMar>
            <w:hideMark/>
          </w:tcPr>
          <w:p w:rsidR="0020099A" w:rsidRPr="0020099A" w:rsidRDefault="0020099A" w:rsidP="0020099A">
            <w:pPr>
              <w:pStyle w:val="a4"/>
              <w:numPr>
                <w:ilvl w:val="0"/>
                <w:numId w:val="2"/>
              </w:numPr>
              <w:rPr>
                <w:rFonts w:eastAsia="DIN 2014 Light"/>
                <w:color w:val="000000" w:themeColor="text1"/>
                <w:kern w:val="24"/>
                <w:sz w:val="22"/>
                <w:szCs w:val="22"/>
              </w:rPr>
            </w:pPr>
            <w:r w:rsidRPr="0020099A">
              <w:rPr>
                <w:rFonts w:eastAsia="DIN 2014 Light"/>
                <w:color w:val="000000" w:themeColor="text1"/>
                <w:kern w:val="24"/>
                <w:sz w:val="22"/>
                <w:szCs w:val="22"/>
              </w:rPr>
              <w:t xml:space="preserve">44-ФЗ  </w:t>
            </w:r>
          </w:p>
          <w:p w:rsidR="0020099A" w:rsidRPr="0020099A" w:rsidRDefault="0020099A" w:rsidP="0020099A">
            <w:pPr>
              <w:pStyle w:val="a4"/>
              <w:numPr>
                <w:ilvl w:val="0"/>
                <w:numId w:val="2"/>
              </w:numPr>
              <w:rPr>
                <w:rFonts w:eastAsia="DIN 2014 Light"/>
                <w:color w:val="000000" w:themeColor="text1"/>
                <w:kern w:val="24"/>
                <w:sz w:val="22"/>
                <w:szCs w:val="22"/>
              </w:rPr>
            </w:pPr>
            <w:r w:rsidRPr="0020099A">
              <w:rPr>
                <w:rFonts w:eastAsia="DIN 2014 Light"/>
                <w:color w:val="000000" w:themeColor="text1"/>
                <w:kern w:val="24"/>
                <w:sz w:val="22"/>
                <w:szCs w:val="22"/>
              </w:rPr>
              <w:t xml:space="preserve"> 223-ФЗ на специальные счета (для малого среднего бизнеса)</w:t>
            </w:r>
          </w:p>
          <w:p w:rsidR="0020099A" w:rsidRPr="0020099A" w:rsidRDefault="0020099A" w:rsidP="0020099A">
            <w:pPr>
              <w:pStyle w:val="a4"/>
              <w:numPr>
                <w:ilvl w:val="0"/>
                <w:numId w:val="2"/>
              </w:numPr>
              <w:rPr>
                <w:rFonts w:eastAsia="DIN 2014 Light"/>
                <w:color w:val="000000" w:themeColor="text1"/>
                <w:kern w:val="24"/>
                <w:sz w:val="22"/>
                <w:szCs w:val="22"/>
              </w:rPr>
            </w:pPr>
            <w:r w:rsidRPr="0020099A">
              <w:rPr>
                <w:rFonts w:eastAsia="DIN 2014 Light"/>
                <w:color w:val="000000" w:themeColor="text1"/>
                <w:kern w:val="24"/>
                <w:sz w:val="22"/>
                <w:szCs w:val="22"/>
              </w:rPr>
              <w:t xml:space="preserve"> По 223-ФЗ и 615-ПП- предоставляем средства на Площадке НЭП, ГПБ, ЭТП РФ (срок займа 50 дней)</w:t>
            </w:r>
          </w:p>
          <w:p w:rsidR="005A310A" w:rsidRPr="00F00CEC" w:rsidRDefault="0020099A" w:rsidP="0020099A">
            <w:pPr>
              <w:pStyle w:val="a4"/>
              <w:numPr>
                <w:ilvl w:val="0"/>
                <w:numId w:val="2"/>
              </w:numPr>
              <w:rPr>
                <w:b/>
                <w:sz w:val="22"/>
                <w:szCs w:val="36"/>
              </w:rPr>
            </w:pPr>
            <w:r w:rsidRPr="0020099A">
              <w:rPr>
                <w:rFonts w:eastAsia="DIN 2014 Light"/>
                <w:color w:val="000000" w:themeColor="text1"/>
                <w:kern w:val="24"/>
                <w:sz w:val="22"/>
                <w:szCs w:val="22"/>
              </w:rPr>
              <w:t xml:space="preserve"> Банки-партнеры: Точка, Сбербанк, Альфа банк</w:t>
            </w:r>
            <w:r w:rsidR="0086407C">
              <w:rPr>
                <w:rFonts w:eastAsia="DIN 2014 Light"/>
                <w:color w:val="000000" w:themeColor="text1"/>
                <w:kern w:val="24"/>
                <w:sz w:val="22"/>
                <w:szCs w:val="22"/>
              </w:rPr>
              <w:t>, Промсвязьбанк</w:t>
            </w:r>
            <w:bookmarkStart w:id="0" w:name="_GoBack"/>
            <w:bookmarkEnd w:id="0"/>
          </w:p>
        </w:tc>
      </w:tr>
      <w:tr w:rsidR="005A310A" w:rsidRPr="00CE4472" w:rsidTr="00707600">
        <w:trPr>
          <w:trHeight w:val="110"/>
          <w:jc w:val="center"/>
        </w:trPr>
        <w:tc>
          <w:tcPr>
            <w:tcW w:w="6280" w:type="dxa"/>
            <w:shd w:val="clear" w:color="auto" w:fill="auto"/>
            <w:tcMar>
              <w:top w:w="72" w:type="dxa"/>
              <w:left w:w="144" w:type="dxa"/>
              <w:bottom w:w="72" w:type="dxa"/>
              <w:right w:w="144" w:type="dxa"/>
            </w:tcMar>
            <w:vAlign w:val="center"/>
            <w:hideMark/>
          </w:tcPr>
          <w:p w:rsidR="005A310A" w:rsidRPr="00CE4472" w:rsidRDefault="005A310A" w:rsidP="00CC6AC6">
            <w:pPr>
              <w:rPr>
                <w:color w:val="auto"/>
                <w:sz w:val="36"/>
                <w:szCs w:val="36"/>
              </w:rPr>
            </w:pPr>
            <w:r w:rsidRPr="00CE4472">
              <w:rPr>
                <w:rFonts w:eastAsia="DIN 2014"/>
                <w:color w:val="000000" w:themeColor="text1"/>
                <w:kern w:val="24"/>
                <w:sz w:val="22"/>
                <w:szCs w:val="22"/>
              </w:rPr>
              <w:t xml:space="preserve">Срок рассмотрения заявки о предоставлении займа </w:t>
            </w:r>
          </w:p>
        </w:tc>
        <w:tc>
          <w:tcPr>
            <w:tcW w:w="8940" w:type="dxa"/>
            <w:shd w:val="clear" w:color="auto" w:fill="auto"/>
            <w:tcMar>
              <w:top w:w="72" w:type="dxa"/>
              <w:left w:w="144" w:type="dxa"/>
              <w:bottom w:w="72" w:type="dxa"/>
              <w:right w:w="144" w:type="dxa"/>
            </w:tcMar>
            <w:vAlign w:val="center"/>
            <w:hideMark/>
          </w:tcPr>
          <w:p w:rsidR="005A310A" w:rsidRPr="00CE4472" w:rsidRDefault="005A310A" w:rsidP="00CC6AC6">
            <w:pPr>
              <w:rPr>
                <w:color w:val="auto"/>
                <w:sz w:val="36"/>
                <w:szCs w:val="36"/>
              </w:rPr>
            </w:pPr>
            <w:r w:rsidRPr="00CE4472">
              <w:rPr>
                <w:rFonts w:eastAsia="DIN 2014 Light"/>
                <w:color w:val="000000" w:themeColor="text1"/>
                <w:kern w:val="24"/>
                <w:sz w:val="22"/>
                <w:szCs w:val="22"/>
              </w:rPr>
              <w:t>в течени</w:t>
            </w:r>
            <w:r w:rsidR="006F1C40">
              <w:rPr>
                <w:rFonts w:eastAsia="DIN 2014 Light"/>
                <w:color w:val="000000" w:themeColor="text1"/>
                <w:kern w:val="24"/>
                <w:sz w:val="22"/>
                <w:szCs w:val="22"/>
              </w:rPr>
              <w:t>е</w:t>
            </w:r>
            <w:r w:rsidRPr="00CE4472">
              <w:rPr>
                <w:rFonts w:eastAsia="DIN 2014 Light"/>
                <w:color w:val="000000" w:themeColor="text1"/>
                <w:kern w:val="24"/>
                <w:sz w:val="22"/>
                <w:szCs w:val="22"/>
              </w:rPr>
              <w:t xml:space="preserve"> 1 часа</w:t>
            </w:r>
          </w:p>
        </w:tc>
      </w:tr>
      <w:tr w:rsidR="005A310A" w:rsidRPr="00CE4472" w:rsidTr="00CC6AC6">
        <w:trPr>
          <w:trHeight w:val="236"/>
          <w:jc w:val="center"/>
        </w:trPr>
        <w:tc>
          <w:tcPr>
            <w:tcW w:w="6280" w:type="dxa"/>
            <w:shd w:val="clear" w:color="auto" w:fill="auto"/>
            <w:tcMar>
              <w:top w:w="72" w:type="dxa"/>
              <w:left w:w="144" w:type="dxa"/>
              <w:bottom w:w="72" w:type="dxa"/>
              <w:right w:w="144" w:type="dxa"/>
            </w:tcMar>
            <w:vAlign w:val="center"/>
            <w:hideMark/>
          </w:tcPr>
          <w:p w:rsidR="005A310A" w:rsidRPr="00CE4472" w:rsidRDefault="005A310A" w:rsidP="00CC6AC6">
            <w:pPr>
              <w:rPr>
                <w:color w:val="auto"/>
                <w:sz w:val="36"/>
                <w:szCs w:val="36"/>
              </w:rPr>
            </w:pPr>
            <w:r w:rsidRPr="00CE4472">
              <w:rPr>
                <w:rFonts w:eastAsia="DIN 2014"/>
                <w:color w:val="000000" w:themeColor="text1"/>
                <w:kern w:val="24"/>
                <w:sz w:val="22"/>
                <w:szCs w:val="22"/>
              </w:rPr>
              <w:t xml:space="preserve">Выдача займа </w:t>
            </w:r>
          </w:p>
        </w:tc>
        <w:tc>
          <w:tcPr>
            <w:tcW w:w="8940" w:type="dxa"/>
            <w:shd w:val="clear" w:color="auto" w:fill="auto"/>
            <w:tcMar>
              <w:top w:w="72" w:type="dxa"/>
              <w:left w:w="144" w:type="dxa"/>
              <w:bottom w:w="72" w:type="dxa"/>
              <w:right w:w="144" w:type="dxa"/>
            </w:tcMar>
            <w:vAlign w:val="center"/>
            <w:hideMark/>
          </w:tcPr>
          <w:p w:rsidR="005A310A" w:rsidRPr="00CE4472" w:rsidRDefault="005A310A" w:rsidP="00CC6AC6">
            <w:pPr>
              <w:rPr>
                <w:color w:val="auto"/>
                <w:sz w:val="36"/>
                <w:szCs w:val="36"/>
              </w:rPr>
            </w:pPr>
            <w:r w:rsidRPr="00CE4472">
              <w:rPr>
                <w:rFonts w:eastAsia="DIN 2014 Light"/>
                <w:color w:val="000000" w:themeColor="text1"/>
                <w:kern w:val="24"/>
                <w:sz w:val="22"/>
                <w:szCs w:val="22"/>
              </w:rPr>
              <w:t>в течени</w:t>
            </w:r>
            <w:r w:rsidR="006F1C40">
              <w:rPr>
                <w:rFonts w:eastAsia="DIN 2014 Light"/>
                <w:color w:val="000000" w:themeColor="text1"/>
                <w:kern w:val="24"/>
                <w:sz w:val="22"/>
                <w:szCs w:val="22"/>
              </w:rPr>
              <w:t>е</w:t>
            </w:r>
            <w:r w:rsidRPr="00CE4472">
              <w:rPr>
                <w:rFonts w:eastAsia="DIN 2014 Light"/>
                <w:color w:val="000000" w:themeColor="text1"/>
                <w:kern w:val="24"/>
                <w:sz w:val="22"/>
                <w:szCs w:val="22"/>
              </w:rPr>
              <w:t xml:space="preserve"> рабочего дня </w:t>
            </w:r>
          </w:p>
        </w:tc>
      </w:tr>
      <w:tr w:rsidR="005A310A" w:rsidRPr="00CE4472" w:rsidTr="00CC6AC6">
        <w:trPr>
          <w:trHeight w:val="209"/>
          <w:jc w:val="center"/>
        </w:trPr>
        <w:tc>
          <w:tcPr>
            <w:tcW w:w="6280" w:type="dxa"/>
            <w:shd w:val="clear" w:color="auto" w:fill="auto"/>
            <w:tcMar>
              <w:top w:w="72" w:type="dxa"/>
              <w:left w:w="144" w:type="dxa"/>
              <w:bottom w:w="72" w:type="dxa"/>
              <w:right w:w="144" w:type="dxa"/>
            </w:tcMar>
            <w:vAlign w:val="center"/>
            <w:hideMark/>
          </w:tcPr>
          <w:p w:rsidR="005A310A" w:rsidRPr="00CE4472" w:rsidRDefault="005A310A" w:rsidP="00CC6AC6">
            <w:pPr>
              <w:rPr>
                <w:color w:val="auto"/>
                <w:sz w:val="36"/>
                <w:szCs w:val="36"/>
              </w:rPr>
            </w:pPr>
            <w:r w:rsidRPr="00CE4472">
              <w:rPr>
                <w:rFonts w:eastAsia="DIN 2014"/>
                <w:color w:val="000000" w:themeColor="text1"/>
                <w:kern w:val="24"/>
                <w:sz w:val="22"/>
                <w:szCs w:val="22"/>
              </w:rPr>
              <w:t>СТОП-ФАКТОР</w:t>
            </w:r>
          </w:p>
        </w:tc>
        <w:tc>
          <w:tcPr>
            <w:tcW w:w="8940" w:type="dxa"/>
            <w:shd w:val="clear" w:color="auto" w:fill="auto"/>
            <w:tcMar>
              <w:top w:w="72" w:type="dxa"/>
              <w:left w:w="144" w:type="dxa"/>
              <w:bottom w:w="72" w:type="dxa"/>
              <w:right w:w="144" w:type="dxa"/>
            </w:tcMar>
            <w:vAlign w:val="center"/>
            <w:hideMark/>
          </w:tcPr>
          <w:p w:rsidR="005A310A" w:rsidRDefault="005A310A" w:rsidP="00CC6AC6">
            <w:pPr>
              <w:rPr>
                <w:rFonts w:eastAsia="DIN 2014 Light"/>
                <w:color w:val="000000" w:themeColor="text1"/>
                <w:kern w:val="24"/>
                <w:sz w:val="22"/>
                <w:szCs w:val="22"/>
              </w:rPr>
            </w:pPr>
            <w:r w:rsidRPr="00CE4472">
              <w:rPr>
                <w:rFonts w:eastAsia="DIN 2014 Light"/>
                <w:color w:val="000000" w:themeColor="text1"/>
                <w:kern w:val="24"/>
                <w:sz w:val="22"/>
                <w:szCs w:val="22"/>
              </w:rPr>
              <w:t>Не работаем с ИП</w:t>
            </w:r>
          </w:p>
          <w:p w:rsidR="00F00CEC" w:rsidRPr="00CE4472" w:rsidRDefault="00F00CEC" w:rsidP="00CC6AC6">
            <w:pPr>
              <w:rPr>
                <w:color w:val="auto"/>
                <w:sz w:val="36"/>
                <w:szCs w:val="36"/>
              </w:rPr>
            </w:pPr>
            <w:r>
              <w:rPr>
                <w:rFonts w:eastAsia="DIN 2014 Light"/>
                <w:color w:val="000000" w:themeColor="text1"/>
                <w:kern w:val="24"/>
                <w:sz w:val="22"/>
                <w:szCs w:val="22"/>
              </w:rPr>
              <w:t>Не работаем со спецсчетами, открытыми в банках: ВТБ, Райффайзенбанк</w:t>
            </w:r>
          </w:p>
        </w:tc>
      </w:tr>
      <w:tr w:rsidR="005A310A" w:rsidRPr="00CE4472" w:rsidTr="00CC6AC6">
        <w:trPr>
          <w:trHeight w:val="13"/>
          <w:jc w:val="center"/>
        </w:trPr>
        <w:tc>
          <w:tcPr>
            <w:tcW w:w="6280" w:type="dxa"/>
            <w:shd w:val="clear" w:color="auto" w:fill="auto"/>
            <w:tcMar>
              <w:top w:w="72" w:type="dxa"/>
              <w:left w:w="144" w:type="dxa"/>
              <w:bottom w:w="72" w:type="dxa"/>
              <w:right w:w="144" w:type="dxa"/>
            </w:tcMar>
            <w:vAlign w:val="center"/>
            <w:hideMark/>
          </w:tcPr>
          <w:p w:rsidR="005A310A" w:rsidRPr="00CE4472" w:rsidRDefault="00F90530" w:rsidP="00CC6AC6">
            <w:pPr>
              <w:rPr>
                <w:color w:val="auto"/>
                <w:sz w:val="36"/>
                <w:szCs w:val="36"/>
              </w:rPr>
            </w:pPr>
            <w:r>
              <w:rPr>
                <w:rFonts w:eastAsia="DIN 2014"/>
                <w:color w:val="000000" w:themeColor="text1"/>
                <w:kern w:val="24"/>
                <w:sz w:val="22"/>
                <w:szCs w:val="22"/>
              </w:rPr>
              <w:t>Регион Заёмщика</w:t>
            </w:r>
            <w:r w:rsidR="005A310A" w:rsidRPr="00CE4472">
              <w:rPr>
                <w:rFonts w:eastAsia="DIN 2014"/>
                <w:color w:val="000000" w:themeColor="text1"/>
                <w:kern w:val="24"/>
                <w:sz w:val="22"/>
                <w:szCs w:val="22"/>
              </w:rPr>
              <w:t xml:space="preserve"> </w:t>
            </w:r>
          </w:p>
        </w:tc>
        <w:tc>
          <w:tcPr>
            <w:tcW w:w="8940" w:type="dxa"/>
            <w:shd w:val="clear" w:color="auto" w:fill="auto"/>
            <w:tcMar>
              <w:top w:w="72" w:type="dxa"/>
              <w:left w:w="144" w:type="dxa"/>
              <w:bottom w:w="72" w:type="dxa"/>
              <w:right w:w="144" w:type="dxa"/>
            </w:tcMar>
            <w:vAlign w:val="center"/>
            <w:hideMark/>
          </w:tcPr>
          <w:p w:rsidR="005A310A" w:rsidRPr="00CE4472" w:rsidRDefault="005A310A" w:rsidP="00CC6AC6">
            <w:pPr>
              <w:rPr>
                <w:color w:val="auto"/>
                <w:sz w:val="36"/>
                <w:szCs w:val="36"/>
              </w:rPr>
            </w:pPr>
            <w:r>
              <w:rPr>
                <w:rFonts w:eastAsia="DIN 2014 Light"/>
                <w:color w:val="000000" w:themeColor="text1"/>
                <w:kern w:val="24"/>
                <w:sz w:val="22"/>
                <w:szCs w:val="22"/>
              </w:rPr>
              <w:t xml:space="preserve"> </w:t>
            </w:r>
            <w:r w:rsidR="00F90530">
              <w:rPr>
                <w:rFonts w:eastAsia="DIN 2014 Light"/>
                <w:color w:val="000000" w:themeColor="text1"/>
                <w:kern w:val="24"/>
                <w:sz w:val="22"/>
                <w:szCs w:val="22"/>
              </w:rPr>
              <w:t>В</w:t>
            </w:r>
            <w:r>
              <w:rPr>
                <w:rFonts w:eastAsia="DIN 2014 Light"/>
                <w:color w:val="000000" w:themeColor="text1"/>
                <w:kern w:val="24"/>
                <w:sz w:val="22"/>
                <w:szCs w:val="22"/>
              </w:rPr>
              <w:t>се</w:t>
            </w:r>
            <w:r w:rsidR="003B2F51">
              <w:rPr>
                <w:rFonts w:eastAsia="DIN 2014 Light"/>
                <w:color w:val="000000" w:themeColor="text1"/>
                <w:kern w:val="24"/>
                <w:sz w:val="22"/>
                <w:szCs w:val="22"/>
              </w:rPr>
              <w:t>, кроме СКФО</w:t>
            </w:r>
          </w:p>
        </w:tc>
      </w:tr>
    </w:tbl>
    <w:p w:rsidR="007327EF" w:rsidRDefault="007327EF"/>
    <w:sectPr w:rsidR="007327EF" w:rsidSect="00E849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5A8" w:rsidRDefault="00CD25A8" w:rsidP="007327EF">
      <w:r>
        <w:separator/>
      </w:r>
    </w:p>
  </w:endnote>
  <w:endnote w:type="continuationSeparator" w:id="0">
    <w:p w:rsidR="00CD25A8" w:rsidRDefault="00CD25A8" w:rsidP="0073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IN 2014 Light">
    <w:altName w:val="Segoe Script"/>
    <w:panose1 w:val="00000000000000000000"/>
    <w:charset w:val="00"/>
    <w:family w:val="swiss"/>
    <w:notTrueType/>
    <w:pitch w:val="variable"/>
    <w:sig w:usb0="A00002FF" w:usb1="5000204B" w:usb2="00000020" w:usb3="00000000" w:csb0="0000009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2014">
    <w:altName w:val="Segoe Script"/>
    <w:panose1 w:val="00000000000000000000"/>
    <w:charset w:val="00"/>
    <w:family w:val="swiss"/>
    <w:notTrueType/>
    <w:pitch w:val="variable"/>
    <w:sig w:usb0="A00002FF" w:usb1="5000204B" w:usb2="00000020" w:usb3="00000000" w:csb0="00000097"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5A8" w:rsidRDefault="00CD25A8" w:rsidP="007327EF">
      <w:r>
        <w:separator/>
      </w:r>
    </w:p>
  </w:footnote>
  <w:footnote w:type="continuationSeparator" w:id="0">
    <w:p w:rsidR="00CD25A8" w:rsidRDefault="00CD25A8" w:rsidP="00732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069"/>
    <w:multiLevelType w:val="hybridMultilevel"/>
    <w:tmpl w:val="EB048CA0"/>
    <w:lvl w:ilvl="0" w:tplc="617C5D5E">
      <w:start w:val="1"/>
      <w:numFmt w:val="decimal"/>
      <w:lvlText w:val="%1."/>
      <w:lvlJc w:val="left"/>
      <w:pPr>
        <w:tabs>
          <w:tab w:val="num" w:pos="720"/>
        </w:tabs>
        <w:ind w:left="720" w:hanging="360"/>
      </w:pPr>
      <w:rPr>
        <w:rFonts w:ascii="Times New Roman" w:eastAsia="DIN 2014 Light" w:hAnsi="Times New Roman" w:cs="Times New Roman"/>
        <w:b w:val="0"/>
      </w:rPr>
    </w:lvl>
    <w:lvl w:ilvl="1" w:tplc="68469ACA" w:tentative="1">
      <w:start w:val="1"/>
      <w:numFmt w:val="bullet"/>
      <w:lvlText w:val="•"/>
      <w:lvlJc w:val="left"/>
      <w:pPr>
        <w:tabs>
          <w:tab w:val="num" w:pos="1440"/>
        </w:tabs>
        <w:ind w:left="1440" w:hanging="360"/>
      </w:pPr>
      <w:rPr>
        <w:rFonts w:ascii="Arial" w:hAnsi="Arial" w:hint="default"/>
      </w:rPr>
    </w:lvl>
    <w:lvl w:ilvl="2" w:tplc="BD9EE11A" w:tentative="1">
      <w:start w:val="1"/>
      <w:numFmt w:val="bullet"/>
      <w:lvlText w:val="•"/>
      <w:lvlJc w:val="left"/>
      <w:pPr>
        <w:tabs>
          <w:tab w:val="num" w:pos="2160"/>
        </w:tabs>
        <w:ind w:left="2160" w:hanging="360"/>
      </w:pPr>
      <w:rPr>
        <w:rFonts w:ascii="Arial" w:hAnsi="Arial" w:hint="default"/>
      </w:rPr>
    </w:lvl>
    <w:lvl w:ilvl="3" w:tplc="62B052B6" w:tentative="1">
      <w:start w:val="1"/>
      <w:numFmt w:val="bullet"/>
      <w:lvlText w:val="•"/>
      <w:lvlJc w:val="left"/>
      <w:pPr>
        <w:tabs>
          <w:tab w:val="num" w:pos="2880"/>
        </w:tabs>
        <w:ind w:left="2880" w:hanging="360"/>
      </w:pPr>
      <w:rPr>
        <w:rFonts w:ascii="Arial" w:hAnsi="Arial" w:hint="default"/>
      </w:rPr>
    </w:lvl>
    <w:lvl w:ilvl="4" w:tplc="9F1A3678" w:tentative="1">
      <w:start w:val="1"/>
      <w:numFmt w:val="bullet"/>
      <w:lvlText w:val="•"/>
      <w:lvlJc w:val="left"/>
      <w:pPr>
        <w:tabs>
          <w:tab w:val="num" w:pos="3600"/>
        </w:tabs>
        <w:ind w:left="3600" w:hanging="360"/>
      </w:pPr>
      <w:rPr>
        <w:rFonts w:ascii="Arial" w:hAnsi="Arial" w:hint="default"/>
      </w:rPr>
    </w:lvl>
    <w:lvl w:ilvl="5" w:tplc="24F2BB90" w:tentative="1">
      <w:start w:val="1"/>
      <w:numFmt w:val="bullet"/>
      <w:lvlText w:val="•"/>
      <w:lvlJc w:val="left"/>
      <w:pPr>
        <w:tabs>
          <w:tab w:val="num" w:pos="4320"/>
        </w:tabs>
        <w:ind w:left="4320" w:hanging="360"/>
      </w:pPr>
      <w:rPr>
        <w:rFonts w:ascii="Arial" w:hAnsi="Arial" w:hint="default"/>
      </w:rPr>
    </w:lvl>
    <w:lvl w:ilvl="6" w:tplc="24FE8B7A" w:tentative="1">
      <w:start w:val="1"/>
      <w:numFmt w:val="bullet"/>
      <w:lvlText w:val="•"/>
      <w:lvlJc w:val="left"/>
      <w:pPr>
        <w:tabs>
          <w:tab w:val="num" w:pos="5040"/>
        </w:tabs>
        <w:ind w:left="5040" w:hanging="360"/>
      </w:pPr>
      <w:rPr>
        <w:rFonts w:ascii="Arial" w:hAnsi="Arial" w:hint="default"/>
      </w:rPr>
    </w:lvl>
    <w:lvl w:ilvl="7" w:tplc="57C69F88" w:tentative="1">
      <w:start w:val="1"/>
      <w:numFmt w:val="bullet"/>
      <w:lvlText w:val="•"/>
      <w:lvlJc w:val="left"/>
      <w:pPr>
        <w:tabs>
          <w:tab w:val="num" w:pos="5760"/>
        </w:tabs>
        <w:ind w:left="5760" w:hanging="360"/>
      </w:pPr>
      <w:rPr>
        <w:rFonts w:ascii="Arial" w:hAnsi="Arial" w:hint="default"/>
      </w:rPr>
    </w:lvl>
    <w:lvl w:ilvl="8" w:tplc="AD0AEF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89539C"/>
    <w:multiLevelType w:val="hybridMultilevel"/>
    <w:tmpl w:val="93F6A82A"/>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F6CD4"/>
    <w:multiLevelType w:val="hybridMultilevel"/>
    <w:tmpl w:val="02B2DD6E"/>
    <w:lvl w:ilvl="0" w:tplc="08AAA4E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15:restartNumberingAfterBreak="0">
    <w:nsid w:val="22F5420D"/>
    <w:multiLevelType w:val="multilevel"/>
    <w:tmpl w:val="3D5C708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0B00DDD"/>
    <w:multiLevelType w:val="hybridMultilevel"/>
    <w:tmpl w:val="32A2D0FA"/>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EE3E13"/>
    <w:multiLevelType w:val="multilevel"/>
    <w:tmpl w:val="3D5C708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38D3027"/>
    <w:multiLevelType w:val="hybridMultilevel"/>
    <w:tmpl w:val="1C949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BB54FF"/>
    <w:multiLevelType w:val="hybridMultilevel"/>
    <w:tmpl w:val="B4024AF4"/>
    <w:lvl w:ilvl="0" w:tplc="EEA24DD4">
      <w:start w:val="1"/>
      <w:numFmt w:val="decimal"/>
      <w:lvlText w:val="%1."/>
      <w:lvlJc w:val="left"/>
      <w:pPr>
        <w:tabs>
          <w:tab w:val="num" w:pos="720"/>
        </w:tabs>
        <w:ind w:left="720" w:hanging="360"/>
      </w:pPr>
      <w:rPr>
        <w:rFonts w:ascii="Times New Roman" w:eastAsia="DIN 2014 Light" w:hAnsi="Times New Roman" w:cs="Times New Roman"/>
      </w:rPr>
    </w:lvl>
    <w:lvl w:ilvl="1" w:tplc="B01A639A" w:tentative="1">
      <w:start w:val="1"/>
      <w:numFmt w:val="bullet"/>
      <w:lvlText w:val="•"/>
      <w:lvlJc w:val="left"/>
      <w:pPr>
        <w:tabs>
          <w:tab w:val="num" w:pos="1440"/>
        </w:tabs>
        <w:ind w:left="1440" w:hanging="360"/>
      </w:pPr>
      <w:rPr>
        <w:rFonts w:ascii="Arial" w:hAnsi="Arial" w:hint="default"/>
      </w:rPr>
    </w:lvl>
    <w:lvl w:ilvl="2" w:tplc="920C43E2" w:tentative="1">
      <w:start w:val="1"/>
      <w:numFmt w:val="bullet"/>
      <w:lvlText w:val="•"/>
      <w:lvlJc w:val="left"/>
      <w:pPr>
        <w:tabs>
          <w:tab w:val="num" w:pos="2160"/>
        </w:tabs>
        <w:ind w:left="2160" w:hanging="360"/>
      </w:pPr>
      <w:rPr>
        <w:rFonts w:ascii="Arial" w:hAnsi="Arial" w:hint="default"/>
      </w:rPr>
    </w:lvl>
    <w:lvl w:ilvl="3" w:tplc="B7A82F3C" w:tentative="1">
      <w:start w:val="1"/>
      <w:numFmt w:val="bullet"/>
      <w:lvlText w:val="•"/>
      <w:lvlJc w:val="left"/>
      <w:pPr>
        <w:tabs>
          <w:tab w:val="num" w:pos="2880"/>
        </w:tabs>
        <w:ind w:left="2880" w:hanging="360"/>
      </w:pPr>
      <w:rPr>
        <w:rFonts w:ascii="Arial" w:hAnsi="Arial" w:hint="default"/>
      </w:rPr>
    </w:lvl>
    <w:lvl w:ilvl="4" w:tplc="7C763BCE" w:tentative="1">
      <w:start w:val="1"/>
      <w:numFmt w:val="bullet"/>
      <w:lvlText w:val="•"/>
      <w:lvlJc w:val="left"/>
      <w:pPr>
        <w:tabs>
          <w:tab w:val="num" w:pos="3600"/>
        </w:tabs>
        <w:ind w:left="3600" w:hanging="360"/>
      </w:pPr>
      <w:rPr>
        <w:rFonts w:ascii="Arial" w:hAnsi="Arial" w:hint="default"/>
      </w:rPr>
    </w:lvl>
    <w:lvl w:ilvl="5" w:tplc="BDE44D0E" w:tentative="1">
      <w:start w:val="1"/>
      <w:numFmt w:val="bullet"/>
      <w:lvlText w:val="•"/>
      <w:lvlJc w:val="left"/>
      <w:pPr>
        <w:tabs>
          <w:tab w:val="num" w:pos="4320"/>
        </w:tabs>
        <w:ind w:left="4320" w:hanging="360"/>
      </w:pPr>
      <w:rPr>
        <w:rFonts w:ascii="Arial" w:hAnsi="Arial" w:hint="default"/>
      </w:rPr>
    </w:lvl>
    <w:lvl w:ilvl="6" w:tplc="7B8C460C" w:tentative="1">
      <w:start w:val="1"/>
      <w:numFmt w:val="bullet"/>
      <w:lvlText w:val="•"/>
      <w:lvlJc w:val="left"/>
      <w:pPr>
        <w:tabs>
          <w:tab w:val="num" w:pos="5040"/>
        </w:tabs>
        <w:ind w:left="5040" w:hanging="360"/>
      </w:pPr>
      <w:rPr>
        <w:rFonts w:ascii="Arial" w:hAnsi="Arial" w:hint="default"/>
      </w:rPr>
    </w:lvl>
    <w:lvl w:ilvl="7" w:tplc="8D16F5A0" w:tentative="1">
      <w:start w:val="1"/>
      <w:numFmt w:val="bullet"/>
      <w:lvlText w:val="•"/>
      <w:lvlJc w:val="left"/>
      <w:pPr>
        <w:tabs>
          <w:tab w:val="num" w:pos="5760"/>
        </w:tabs>
        <w:ind w:left="5760" w:hanging="360"/>
      </w:pPr>
      <w:rPr>
        <w:rFonts w:ascii="Arial" w:hAnsi="Arial" w:hint="default"/>
      </w:rPr>
    </w:lvl>
    <w:lvl w:ilvl="8" w:tplc="B76A0B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78618C"/>
    <w:multiLevelType w:val="hybridMultilevel"/>
    <w:tmpl w:val="26DADA58"/>
    <w:lvl w:ilvl="0" w:tplc="0419000F">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D465A9"/>
    <w:multiLevelType w:val="hybridMultilevel"/>
    <w:tmpl w:val="2A24367E"/>
    <w:lvl w:ilvl="0" w:tplc="4EC417D6">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625400D2"/>
    <w:multiLevelType w:val="hybridMultilevel"/>
    <w:tmpl w:val="FA8EC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5165EB"/>
    <w:multiLevelType w:val="hybridMultilevel"/>
    <w:tmpl w:val="77AA4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EC417D6">
      <w:start w:val="1"/>
      <w:numFmt w:val="bullet"/>
      <w:lvlText w:val="-"/>
      <w:lvlJc w:val="left"/>
      <w:pPr>
        <w:ind w:left="748"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384298"/>
    <w:multiLevelType w:val="hybridMultilevel"/>
    <w:tmpl w:val="2A94C920"/>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B306D9"/>
    <w:multiLevelType w:val="hybridMultilevel"/>
    <w:tmpl w:val="BE345A4E"/>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B41F5A"/>
    <w:multiLevelType w:val="hybridMultilevel"/>
    <w:tmpl w:val="E2686FEC"/>
    <w:lvl w:ilvl="0" w:tplc="4EC417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4"/>
  </w:num>
  <w:num w:numId="9">
    <w:abstractNumId w:val="4"/>
  </w:num>
  <w:num w:numId="10">
    <w:abstractNumId w:val="12"/>
  </w:num>
  <w:num w:numId="11">
    <w:abstractNumId w:val="13"/>
  </w:num>
  <w:num w:numId="12">
    <w:abstractNumId w:val="9"/>
  </w:num>
  <w:num w:numId="13">
    <w:abstractNumId w:val="1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BB"/>
    <w:rsid w:val="0002734D"/>
    <w:rsid w:val="001746A8"/>
    <w:rsid w:val="00186057"/>
    <w:rsid w:val="001F1D7D"/>
    <w:rsid w:val="0020099A"/>
    <w:rsid w:val="00200ABB"/>
    <w:rsid w:val="00256549"/>
    <w:rsid w:val="003B2F51"/>
    <w:rsid w:val="00457097"/>
    <w:rsid w:val="004D5730"/>
    <w:rsid w:val="005A310A"/>
    <w:rsid w:val="0067787F"/>
    <w:rsid w:val="006B2BFF"/>
    <w:rsid w:val="006E638D"/>
    <w:rsid w:val="006F1C40"/>
    <w:rsid w:val="00707600"/>
    <w:rsid w:val="007173E5"/>
    <w:rsid w:val="00724442"/>
    <w:rsid w:val="007327EF"/>
    <w:rsid w:val="0073501E"/>
    <w:rsid w:val="007978E2"/>
    <w:rsid w:val="0086407C"/>
    <w:rsid w:val="00954569"/>
    <w:rsid w:val="0098126C"/>
    <w:rsid w:val="00AD603D"/>
    <w:rsid w:val="00B54899"/>
    <w:rsid w:val="00B8574B"/>
    <w:rsid w:val="00B95B76"/>
    <w:rsid w:val="00CA35E9"/>
    <w:rsid w:val="00CC6AC6"/>
    <w:rsid w:val="00CD25A8"/>
    <w:rsid w:val="00CE4472"/>
    <w:rsid w:val="00D82977"/>
    <w:rsid w:val="00E849D8"/>
    <w:rsid w:val="00F00CEC"/>
    <w:rsid w:val="00F1560A"/>
    <w:rsid w:val="00F90530"/>
    <w:rsid w:val="00FD2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A316"/>
  <w15:chartTrackingRefBased/>
  <w15:docId w15:val="{D5E79E4D-EE3D-4C1E-AA53-3C82CE49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00ABB"/>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01E"/>
    <w:pPr>
      <w:spacing w:before="100" w:beforeAutospacing="1" w:after="100" w:afterAutospacing="1"/>
    </w:pPr>
    <w:rPr>
      <w:color w:val="auto"/>
    </w:rPr>
  </w:style>
  <w:style w:type="paragraph" w:styleId="a4">
    <w:name w:val="List Paragraph"/>
    <w:basedOn w:val="a"/>
    <w:uiPriority w:val="34"/>
    <w:qFormat/>
    <w:rsid w:val="0073501E"/>
    <w:pPr>
      <w:ind w:left="720"/>
      <w:contextualSpacing/>
    </w:pPr>
    <w:rPr>
      <w:color w:val="auto"/>
    </w:rPr>
  </w:style>
  <w:style w:type="character" w:styleId="a5">
    <w:name w:val="Hyperlink"/>
    <w:basedOn w:val="a0"/>
    <w:uiPriority w:val="99"/>
    <w:unhideWhenUsed/>
    <w:rsid w:val="00AD603D"/>
    <w:rPr>
      <w:color w:val="0563C1" w:themeColor="hyperlink"/>
      <w:u w:val="single"/>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7"/>
    <w:uiPriority w:val="99"/>
    <w:rsid w:val="007327EF"/>
    <w:pPr>
      <w:autoSpaceDE w:val="0"/>
      <w:autoSpaceDN w:val="0"/>
    </w:pPr>
    <w:rPr>
      <w:color w:val="auto"/>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6"/>
    <w:uiPriority w:val="99"/>
    <w:rsid w:val="007327EF"/>
    <w:rPr>
      <w:rFonts w:ascii="Times New Roman" w:eastAsia="Times New Roman" w:hAnsi="Times New Roman" w:cs="Times New Roman"/>
      <w:sz w:val="20"/>
      <w:szCs w:val="20"/>
      <w:lang w:eastAsia="ru-RU"/>
    </w:rPr>
  </w:style>
  <w:style w:type="character" w:styleId="a8">
    <w:name w:val="footnote reference"/>
    <w:uiPriority w:val="99"/>
    <w:rsid w:val="007327E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765156">
      <w:bodyDiv w:val="1"/>
      <w:marLeft w:val="0"/>
      <w:marRight w:val="0"/>
      <w:marTop w:val="0"/>
      <w:marBottom w:val="0"/>
      <w:divBdr>
        <w:top w:val="none" w:sz="0" w:space="0" w:color="auto"/>
        <w:left w:val="none" w:sz="0" w:space="0" w:color="auto"/>
        <w:bottom w:val="none" w:sz="0" w:space="0" w:color="auto"/>
        <w:right w:val="none" w:sz="0" w:space="0" w:color="auto"/>
      </w:divBdr>
      <w:divsChild>
        <w:div w:id="1037588708">
          <w:marLeft w:val="0"/>
          <w:marRight w:val="1200"/>
          <w:marTop w:val="0"/>
          <w:marBottom w:val="0"/>
          <w:divBdr>
            <w:top w:val="none" w:sz="0" w:space="0" w:color="auto"/>
            <w:left w:val="none" w:sz="0" w:space="0" w:color="auto"/>
            <w:bottom w:val="none" w:sz="0" w:space="0" w:color="auto"/>
            <w:right w:val="none" w:sz="0" w:space="0" w:color="auto"/>
          </w:divBdr>
        </w:div>
        <w:div w:id="975644623">
          <w:marLeft w:val="0"/>
          <w:marRight w:val="0"/>
          <w:marTop w:val="0"/>
          <w:marBottom w:val="0"/>
          <w:divBdr>
            <w:top w:val="none" w:sz="0" w:space="0" w:color="auto"/>
            <w:left w:val="none" w:sz="0" w:space="0" w:color="auto"/>
            <w:bottom w:val="none" w:sz="0" w:space="0" w:color="auto"/>
            <w:right w:val="none" w:sz="0" w:space="0" w:color="auto"/>
          </w:divBdr>
        </w:div>
      </w:divsChild>
    </w:div>
    <w:div w:id="1743986237">
      <w:bodyDiv w:val="1"/>
      <w:marLeft w:val="0"/>
      <w:marRight w:val="0"/>
      <w:marTop w:val="0"/>
      <w:marBottom w:val="0"/>
      <w:divBdr>
        <w:top w:val="none" w:sz="0" w:space="0" w:color="auto"/>
        <w:left w:val="none" w:sz="0" w:space="0" w:color="auto"/>
        <w:bottom w:val="none" w:sz="0" w:space="0" w:color="auto"/>
        <w:right w:val="none" w:sz="0" w:space="0" w:color="auto"/>
      </w:divBdr>
      <w:divsChild>
        <w:div w:id="1885747821">
          <w:marLeft w:val="274"/>
          <w:marRight w:val="0"/>
          <w:marTop w:val="0"/>
          <w:marBottom w:val="0"/>
          <w:divBdr>
            <w:top w:val="none" w:sz="0" w:space="0" w:color="auto"/>
            <w:left w:val="none" w:sz="0" w:space="0" w:color="auto"/>
            <w:bottom w:val="none" w:sz="0" w:space="0" w:color="auto"/>
            <w:right w:val="none" w:sz="0" w:space="0" w:color="auto"/>
          </w:divBdr>
        </w:div>
        <w:div w:id="697435620">
          <w:marLeft w:val="274"/>
          <w:marRight w:val="0"/>
          <w:marTop w:val="0"/>
          <w:marBottom w:val="0"/>
          <w:divBdr>
            <w:top w:val="none" w:sz="0" w:space="0" w:color="auto"/>
            <w:left w:val="none" w:sz="0" w:space="0" w:color="auto"/>
            <w:bottom w:val="none" w:sz="0" w:space="0" w:color="auto"/>
            <w:right w:val="none" w:sz="0" w:space="0" w:color="auto"/>
          </w:divBdr>
        </w:div>
        <w:div w:id="1821118835">
          <w:marLeft w:val="274"/>
          <w:marRight w:val="0"/>
          <w:marTop w:val="0"/>
          <w:marBottom w:val="160"/>
          <w:divBdr>
            <w:top w:val="none" w:sz="0" w:space="0" w:color="auto"/>
            <w:left w:val="none" w:sz="0" w:space="0" w:color="auto"/>
            <w:bottom w:val="none" w:sz="0" w:space="0" w:color="auto"/>
            <w:right w:val="none" w:sz="0" w:space="0" w:color="auto"/>
          </w:divBdr>
        </w:div>
        <w:div w:id="1797412387">
          <w:marLeft w:val="274"/>
          <w:marRight w:val="0"/>
          <w:marTop w:val="0"/>
          <w:marBottom w:val="160"/>
          <w:divBdr>
            <w:top w:val="none" w:sz="0" w:space="0" w:color="auto"/>
            <w:left w:val="none" w:sz="0" w:space="0" w:color="auto"/>
            <w:bottom w:val="none" w:sz="0" w:space="0" w:color="auto"/>
            <w:right w:val="none" w:sz="0" w:space="0" w:color="auto"/>
          </w:divBdr>
        </w:div>
        <w:div w:id="1745447129">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208</Words>
  <Characters>1188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Терехова Татьяна Александровна</dc:creator>
  <cp:keywords/>
  <dc:description/>
  <cp:lastModifiedBy>Ануфриева Ольга Анатольевна</cp:lastModifiedBy>
  <cp:revision>34</cp:revision>
  <dcterms:created xsi:type="dcterms:W3CDTF">2019-04-02T08:30:00Z</dcterms:created>
  <dcterms:modified xsi:type="dcterms:W3CDTF">2019-05-15T11:49:00Z</dcterms:modified>
</cp:coreProperties>
</file>