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E2" w:rsidRPr="007978E2" w:rsidRDefault="00C73BB0" w:rsidP="00CC6AC6">
      <w:pPr>
        <w:tabs>
          <w:tab w:val="left" w:pos="2463"/>
        </w:tabs>
        <w:jc w:val="center"/>
        <w:rPr>
          <w:b/>
          <w:sz w:val="22"/>
        </w:rPr>
      </w:pPr>
      <w:r>
        <w:rPr>
          <w:b/>
          <w:sz w:val="22"/>
        </w:rPr>
        <w:t>Паспорт продукта «Тендерный Заё</w:t>
      </w:r>
      <w:r w:rsidR="007978E2" w:rsidRPr="007978E2">
        <w:rPr>
          <w:b/>
          <w:sz w:val="22"/>
        </w:rPr>
        <w:t>м»</w:t>
      </w:r>
    </w:p>
    <w:p w:rsidR="00CE4472" w:rsidRDefault="00E046A7" w:rsidP="00CC6AC6">
      <w:pPr>
        <w:tabs>
          <w:tab w:val="left" w:pos="2463"/>
        </w:tabs>
        <w:jc w:val="center"/>
        <w:rPr>
          <w:b/>
          <w:sz w:val="22"/>
        </w:rPr>
      </w:pPr>
      <w:r>
        <w:rPr>
          <w:b/>
          <w:sz w:val="22"/>
        </w:rPr>
        <w:t>(ООО МКК «</w:t>
      </w:r>
      <w:r w:rsidR="00D2790F">
        <w:rPr>
          <w:b/>
          <w:sz w:val="22"/>
        </w:rPr>
        <w:t>АльфаСитиФинанс</w:t>
      </w:r>
      <w:r>
        <w:rPr>
          <w:b/>
          <w:sz w:val="22"/>
        </w:rPr>
        <w:t xml:space="preserve">») </w:t>
      </w:r>
    </w:p>
    <w:p w:rsidR="007978E2" w:rsidRDefault="007978E2" w:rsidP="00200ABB">
      <w:pPr>
        <w:tabs>
          <w:tab w:val="left" w:pos="2463"/>
        </w:tabs>
        <w:rPr>
          <w:sz w:val="22"/>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382"/>
        <w:gridCol w:w="9838"/>
      </w:tblGrid>
      <w:tr w:rsidR="007327EF" w:rsidRPr="00E01CA2" w:rsidTr="00FD6AC9">
        <w:trPr>
          <w:trHeight w:val="20"/>
          <w:jc w:val="center"/>
        </w:trPr>
        <w:tc>
          <w:tcPr>
            <w:tcW w:w="5382" w:type="dxa"/>
            <w:tcBorders>
              <w:bottom w:val="single" w:sz="4" w:space="0" w:color="auto"/>
            </w:tcBorders>
            <w:shd w:val="clear" w:color="auto" w:fill="auto"/>
            <w:tcMar>
              <w:top w:w="72" w:type="dxa"/>
              <w:left w:w="144" w:type="dxa"/>
              <w:bottom w:w="72" w:type="dxa"/>
              <w:right w:w="144" w:type="dxa"/>
            </w:tcMar>
            <w:vAlign w:val="center"/>
          </w:tcPr>
          <w:p w:rsidR="007327EF" w:rsidRPr="00FD6AC9" w:rsidRDefault="001F6E83" w:rsidP="00F41E9B">
            <w:pPr>
              <w:jc w:val="center"/>
              <w:rPr>
                <w:rFonts w:eastAsia="DIN 2014"/>
                <w:color w:val="000000" w:themeColor="text1"/>
                <w:kern w:val="24"/>
                <w:sz w:val="20"/>
                <w:szCs w:val="22"/>
              </w:rPr>
            </w:pPr>
            <w:r w:rsidRPr="00FD6AC9">
              <w:rPr>
                <w:rFonts w:eastAsia="Calibri"/>
                <w:b/>
                <w:bCs/>
                <w:color w:val="auto"/>
                <w:sz w:val="20"/>
                <w:szCs w:val="22"/>
                <w:lang w:eastAsia="en-US"/>
              </w:rPr>
              <w:t>КРИТЕРИИ</w:t>
            </w:r>
          </w:p>
        </w:tc>
        <w:tc>
          <w:tcPr>
            <w:tcW w:w="9838" w:type="dxa"/>
            <w:tcBorders>
              <w:bottom w:val="single" w:sz="4" w:space="0" w:color="auto"/>
            </w:tcBorders>
            <w:shd w:val="clear" w:color="auto" w:fill="auto"/>
            <w:tcMar>
              <w:top w:w="72" w:type="dxa"/>
              <w:left w:w="144" w:type="dxa"/>
              <w:bottom w:w="72" w:type="dxa"/>
              <w:right w:w="144" w:type="dxa"/>
            </w:tcMar>
            <w:vAlign w:val="center"/>
          </w:tcPr>
          <w:p w:rsidR="007327EF" w:rsidRPr="00FD6AC9" w:rsidRDefault="001F6E83" w:rsidP="00F41E9B">
            <w:pPr>
              <w:jc w:val="center"/>
              <w:rPr>
                <w:rFonts w:eastAsia="DIN 2014 Light"/>
                <w:color w:val="000000" w:themeColor="text1"/>
                <w:kern w:val="24"/>
                <w:sz w:val="20"/>
                <w:szCs w:val="22"/>
              </w:rPr>
            </w:pPr>
            <w:r w:rsidRPr="00FD6AC9">
              <w:rPr>
                <w:rFonts w:eastAsia="Calibri"/>
                <w:b/>
                <w:bCs/>
                <w:color w:val="auto"/>
                <w:sz w:val="20"/>
                <w:szCs w:val="22"/>
                <w:lang w:eastAsia="en-US"/>
              </w:rPr>
              <w:t>УСЛОВИЯ</w:t>
            </w:r>
          </w:p>
        </w:tc>
      </w:tr>
      <w:tr w:rsidR="0073501E" w:rsidRPr="00F41E9B" w:rsidTr="00174EF5">
        <w:trPr>
          <w:trHeight w:val="146"/>
          <w:jc w:val="center"/>
        </w:trPr>
        <w:tc>
          <w:tcPr>
            <w:tcW w:w="5382" w:type="dxa"/>
            <w:tcBorders>
              <w:bottom w:val="single" w:sz="4" w:space="0" w:color="auto"/>
              <w:right w:val="single" w:sz="4" w:space="0" w:color="auto"/>
            </w:tcBorders>
            <w:shd w:val="clear" w:color="auto" w:fill="auto"/>
            <w:tcMar>
              <w:top w:w="72" w:type="dxa"/>
              <w:left w:w="144" w:type="dxa"/>
              <w:bottom w:w="72" w:type="dxa"/>
              <w:right w:w="144" w:type="dxa"/>
            </w:tcMar>
            <w:vAlign w:val="center"/>
            <w:hideMark/>
          </w:tcPr>
          <w:p w:rsidR="0073501E" w:rsidRPr="00F41E9B" w:rsidRDefault="0073501E" w:rsidP="00F41E9B">
            <w:pPr>
              <w:rPr>
                <w:color w:val="auto"/>
                <w:sz w:val="21"/>
                <w:szCs w:val="21"/>
              </w:rPr>
            </w:pPr>
            <w:r w:rsidRPr="00F41E9B">
              <w:rPr>
                <w:rFonts w:eastAsia="DIN 2014"/>
                <w:color w:val="000000" w:themeColor="text1"/>
                <w:kern w:val="24"/>
                <w:sz w:val="21"/>
                <w:szCs w:val="21"/>
              </w:rPr>
              <w:t>Сумма займа</w:t>
            </w:r>
          </w:p>
        </w:tc>
        <w:tc>
          <w:tcPr>
            <w:tcW w:w="983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73501E" w:rsidRPr="00F41E9B" w:rsidRDefault="00416044" w:rsidP="00F41E9B">
            <w:pPr>
              <w:jc w:val="both"/>
              <w:rPr>
                <w:color w:val="auto"/>
                <w:sz w:val="21"/>
                <w:szCs w:val="21"/>
              </w:rPr>
            </w:pPr>
            <w:r w:rsidRPr="00F41E9B">
              <w:rPr>
                <w:rFonts w:eastAsia="DIN 2014 Light"/>
                <w:color w:val="000000" w:themeColor="text1"/>
                <w:kern w:val="24"/>
                <w:sz w:val="21"/>
                <w:szCs w:val="21"/>
              </w:rPr>
              <w:t>до 3</w:t>
            </w:r>
            <w:r w:rsidR="0010485F" w:rsidRPr="00F41E9B">
              <w:rPr>
                <w:rFonts w:eastAsia="DIN 2014 Light"/>
                <w:color w:val="000000" w:themeColor="text1"/>
                <w:kern w:val="24"/>
                <w:sz w:val="21"/>
                <w:szCs w:val="21"/>
              </w:rPr>
              <w:t xml:space="preserve"> 000 000 руб. (</w:t>
            </w:r>
            <w:r w:rsidR="00CF491D" w:rsidRPr="00F41E9B">
              <w:rPr>
                <w:rFonts w:eastAsia="DIN 2014 Light"/>
                <w:color w:val="000000" w:themeColor="text1"/>
                <w:kern w:val="24"/>
                <w:sz w:val="21"/>
                <w:szCs w:val="21"/>
              </w:rPr>
              <w:t>если спец.</w:t>
            </w:r>
            <w:r w:rsidR="0010485F" w:rsidRPr="00F41E9B">
              <w:rPr>
                <w:rFonts w:eastAsia="DIN 2014 Light"/>
                <w:color w:val="000000" w:themeColor="text1"/>
                <w:kern w:val="24"/>
                <w:sz w:val="21"/>
                <w:szCs w:val="21"/>
              </w:rPr>
              <w:t xml:space="preserve"> счет открыт в Точка банк</w:t>
            </w:r>
            <w:r w:rsidR="00543ED4">
              <w:rPr>
                <w:rFonts w:eastAsia="DIN 2014 Light"/>
                <w:color w:val="000000" w:themeColor="text1"/>
                <w:kern w:val="24"/>
                <w:sz w:val="21"/>
                <w:szCs w:val="21"/>
              </w:rPr>
              <w:t>е</w:t>
            </w:r>
            <w:bookmarkStart w:id="0" w:name="_GoBack"/>
            <w:bookmarkEnd w:id="0"/>
            <w:r w:rsidR="009A7C88">
              <w:rPr>
                <w:rFonts w:eastAsia="DIN 2014 Light"/>
                <w:color w:val="000000" w:themeColor="text1"/>
                <w:kern w:val="24"/>
                <w:sz w:val="21"/>
                <w:szCs w:val="21"/>
              </w:rPr>
              <w:t xml:space="preserve"> </w:t>
            </w:r>
            <w:r w:rsidR="009A7C88" w:rsidRPr="00F406F6">
              <w:rPr>
                <w:rFonts w:eastAsia="DIN 2014 Light"/>
                <w:color w:val="000000" w:themeColor="text1"/>
                <w:kern w:val="24"/>
                <w:sz w:val="21"/>
                <w:szCs w:val="21"/>
              </w:rPr>
              <w:t>или Сбербанке</w:t>
            </w:r>
            <w:r w:rsidR="00CF491D" w:rsidRPr="00F41E9B">
              <w:rPr>
                <w:rFonts w:eastAsia="DIN 2014 Light"/>
                <w:color w:val="000000" w:themeColor="text1"/>
                <w:kern w:val="24"/>
                <w:sz w:val="21"/>
                <w:szCs w:val="21"/>
              </w:rPr>
              <w:t xml:space="preserve"> по аукциону</w:t>
            </w:r>
            <w:r w:rsidR="0010485F" w:rsidRPr="00F41E9B">
              <w:rPr>
                <w:rFonts w:eastAsia="DIN 2014 Light"/>
                <w:color w:val="000000" w:themeColor="text1"/>
                <w:kern w:val="24"/>
                <w:sz w:val="21"/>
                <w:szCs w:val="21"/>
              </w:rPr>
              <w:t>,</w:t>
            </w:r>
            <w:r w:rsidR="00CF491D" w:rsidRPr="00F41E9B">
              <w:rPr>
                <w:rFonts w:eastAsia="DIN 2014 Light"/>
                <w:color w:val="000000" w:themeColor="text1"/>
                <w:kern w:val="24"/>
                <w:sz w:val="21"/>
                <w:szCs w:val="21"/>
              </w:rPr>
              <w:t xml:space="preserve"> предусматривающему наличие спец.счета</w:t>
            </w:r>
            <w:r w:rsidR="0010485F" w:rsidRPr="00F41E9B">
              <w:rPr>
                <w:rFonts w:eastAsia="DIN 2014 Light"/>
                <w:color w:val="000000" w:themeColor="text1"/>
                <w:kern w:val="24"/>
                <w:sz w:val="21"/>
                <w:szCs w:val="21"/>
              </w:rPr>
              <w:t xml:space="preserve"> – максимальная сумма займа </w:t>
            </w:r>
            <w:r w:rsidR="00CF491D" w:rsidRPr="00F41E9B">
              <w:rPr>
                <w:rFonts w:eastAsia="DIN 2014 Light"/>
                <w:color w:val="000000" w:themeColor="text1"/>
                <w:kern w:val="24"/>
                <w:sz w:val="21"/>
                <w:szCs w:val="21"/>
              </w:rPr>
              <w:t>5 000 000,00 руб.</w:t>
            </w:r>
            <w:r w:rsidR="0010485F" w:rsidRPr="00F41E9B">
              <w:rPr>
                <w:rFonts w:eastAsia="DIN 2014 Light"/>
                <w:color w:val="000000" w:themeColor="text1"/>
                <w:kern w:val="24"/>
                <w:sz w:val="21"/>
                <w:szCs w:val="21"/>
              </w:rPr>
              <w:t>).</w:t>
            </w:r>
          </w:p>
        </w:tc>
      </w:tr>
      <w:tr w:rsidR="005A310A" w:rsidRPr="00F41E9B" w:rsidTr="00F41E9B">
        <w:trPr>
          <w:trHeight w:val="106"/>
          <w:jc w:val="center"/>
        </w:trPr>
        <w:tc>
          <w:tcPr>
            <w:tcW w:w="5382" w:type="dxa"/>
            <w:tcBorders>
              <w:top w:val="single" w:sz="4" w:space="0" w:color="auto"/>
            </w:tcBorders>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Срок займа</w:t>
            </w:r>
          </w:p>
        </w:tc>
        <w:tc>
          <w:tcPr>
            <w:tcW w:w="9838" w:type="dxa"/>
            <w:shd w:val="clear" w:color="auto" w:fill="auto"/>
            <w:tcMar>
              <w:top w:w="72" w:type="dxa"/>
              <w:left w:w="144" w:type="dxa"/>
              <w:bottom w:w="72" w:type="dxa"/>
              <w:right w:w="144" w:type="dxa"/>
            </w:tcMar>
            <w:vAlign w:val="center"/>
            <w:hideMark/>
          </w:tcPr>
          <w:p w:rsidR="005A310A" w:rsidRPr="00F41E9B" w:rsidRDefault="0029115E" w:rsidP="00F41E9B">
            <w:pPr>
              <w:jc w:val="both"/>
              <w:rPr>
                <w:color w:val="auto"/>
                <w:sz w:val="21"/>
                <w:szCs w:val="21"/>
              </w:rPr>
            </w:pPr>
            <w:r w:rsidRPr="00F41E9B">
              <w:rPr>
                <w:rFonts w:eastAsia="DIN 2014 Light"/>
                <w:color w:val="000000" w:themeColor="text1"/>
                <w:kern w:val="24"/>
                <w:sz w:val="21"/>
                <w:szCs w:val="21"/>
              </w:rPr>
              <w:t>6</w:t>
            </w:r>
            <w:r w:rsidR="005A310A" w:rsidRPr="00F41E9B">
              <w:rPr>
                <w:rFonts w:eastAsia="DIN 2014 Light"/>
                <w:color w:val="000000" w:themeColor="text1"/>
                <w:kern w:val="24"/>
                <w:sz w:val="21"/>
                <w:szCs w:val="21"/>
              </w:rPr>
              <w:t>0 дней</w:t>
            </w:r>
          </w:p>
        </w:tc>
      </w:tr>
      <w:tr w:rsidR="00D031F1" w:rsidRPr="00F41E9B" w:rsidTr="00F41E9B">
        <w:trPr>
          <w:trHeight w:val="409"/>
          <w:jc w:val="center"/>
        </w:trPr>
        <w:tc>
          <w:tcPr>
            <w:tcW w:w="5382" w:type="dxa"/>
            <w:tcBorders>
              <w:top w:val="single" w:sz="4" w:space="0" w:color="auto"/>
            </w:tcBorders>
            <w:shd w:val="clear" w:color="auto" w:fill="auto"/>
            <w:tcMar>
              <w:top w:w="72" w:type="dxa"/>
              <w:left w:w="144" w:type="dxa"/>
              <w:bottom w:w="72" w:type="dxa"/>
              <w:right w:w="144" w:type="dxa"/>
            </w:tcMar>
            <w:vAlign w:val="center"/>
          </w:tcPr>
          <w:p w:rsidR="00D031F1" w:rsidRPr="00F41E9B" w:rsidRDefault="00D031F1" w:rsidP="00F41E9B">
            <w:pPr>
              <w:rPr>
                <w:rFonts w:eastAsia="DIN 2014"/>
                <w:color w:val="000000" w:themeColor="text1"/>
                <w:kern w:val="24"/>
                <w:sz w:val="21"/>
                <w:szCs w:val="21"/>
              </w:rPr>
            </w:pPr>
            <w:r w:rsidRPr="00F41E9B">
              <w:rPr>
                <w:rFonts w:eastAsia="DIN 2014"/>
                <w:color w:val="000000" w:themeColor="text1"/>
                <w:kern w:val="24"/>
                <w:sz w:val="21"/>
                <w:szCs w:val="21"/>
              </w:rPr>
              <w:t>Организационно-правовая форма клиента</w:t>
            </w:r>
          </w:p>
        </w:tc>
        <w:tc>
          <w:tcPr>
            <w:tcW w:w="9838" w:type="dxa"/>
            <w:shd w:val="clear" w:color="auto" w:fill="auto"/>
            <w:tcMar>
              <w:top w:w="72" w:type="dxa"/>
              <w:left w:w="144" w:type="dxa"/>
              <w:bottom w:w="72" w:type="dxa"/>
              <w:right w:w="144" w:type="dxa"/>
            </w:tcMar>
            <w:vAlign w:val="center"/>
          </w:tcPr>
          <w:p w:rsidR="00D031F1" w:rsidRPr="00F41E9B" w:rsidRDefault="00D031F1" w:rsidP="00F41E9B">
            <w:pPr>
              <w:rPr>
                <w:rFonts w:eastAsia="DIN 2014 Light"/>
                <w:color w:val="000000" w:themeColor="text1"/>
                <w:kern w:val="24"/>
                <w:sz w:val="21"/>
                <w:szCs w:val="21"/>
              </w:rPr>
            </w:pPr>
            <w:r w:rsidRPr="00F41E9B">
              <w:rPr>
                <w:rFonts w:eastAsia="DIN 2014 Light"/>
                <w:color w:val="000000" w:themeColor="text1"/>
                <w:kern w:val="24"/>
                <w:sz w:val="21"/>
                <w:szCs w:val="21"/>
              </w:rPr>
              <w:t>Общество с ограниченной ответственностью</w:t>
            </w:r>
            <w:r w:rsidRPr="00F41E9B">
              <w:rPr>
                <w:rFonts w:eastAsia="DIN 2014 Light"/>
                <w:color w:val="000000" w:themeColor="text1"/>
                <w:kern w:val="24"/>
                <w:sz w:val="21"/>
                <w:szCs w:val="21"/>
              </w:rPr>
              <w:br/>
              <w:t>Индивидуальный предприниматель</w:t>
            </w:r>
          </w:p>
        </w:tc>
      </w:tr>
      <w:tr w:rsidR="007173E5" w:rsidRPr="00F41E9B" w:rsidTr="00C57B74">
        <w:trPr>
          <w:trHeight w:val="678"/>
          <w:jc w:val="center"/>
        </w:trPr>
        <w:tc>
          <w:tcPr>
            <w:tcW w:w="5382" w:type="dxa"/>
            <w:shd w:val="clear" w:color="auto" w:fill="auto"/>
            <w:tcMar>
              <w:top w:w="72" w:type="dxa"/>
              <w:left w:w="144" w:type="dxa"/>
              <w:bottom w:w="72" w:type="dxa"/>
              <w:right w:w="144" w:type="dxa"/>
            </w:tcMar>
            <w:vAlign w:val="center"/>
          </w:tcPr>
          <w:p w:rsidR="007173E5" w:rsidRPr="00F41E9B" w:rsidRDefault="00256549" w:rsidP="00F41E9B">
            <w:pPr>
              <w:rPr>
                <w:rFonts w:eastAsia="DIN 2014 Light"/>
                <w:color w:val="000000" w:themeColor="text1"/>
                <w:kern w:val="24"/>
                <w:sz w:val="21"/>
                <w:szCs w:val="21"/>
              </w:rPr>
            </w:pPr>
            <w:r w:rsidRPr="00F41E9B">
              <w:rPr>
                <w:rFonts w:eastAsia="DIN 2014 Light"/>
                <w:color w:val="000000" w:themeColor="text1"/>
                <w:kern w:val="24"/>
                <w:sz w:val="21"/>
                <w:szCs w:val="21"/>
              </w:rPr>
              <w:t>Базовые нетто</w:t>
            </w:r>
            <w:r w:rsidR="00CC6AC6" w:rsidRPr="00F41E9B">
              <w:rPr>
                <w:rFonts w:eastAsia="DIN 2014 Light"/>
                <w:color w:val="000000" w:themeColor="text1"/>
                <w:kern w:val="24"/>
                <w:sz w:val="21"/>
                <w:szCs w:val="21"/>
              </w:rPr>
              <w:t>-ставки</w:t>
            </w:r>
            <w:r w:rsidR="00712698" w:rsidRPr="00F41E9B">
              <w:rPr>
                <w:rFonts w:eastAsia="DIN 2014 Light"/>
                <w:color w:val="000000" w:themeColor="text1"/>
                <w:kern w:val="24"/>
                <w:sz w:val="21"/>
                <w:szCs w:val="21"/>
              </w:rPr>
              <w:t xml:space="preserve"> для агентов</w:t>
            </w:r>
          </w:p>
        </w:tc>
        <w:tc>
          <w:tcPr>
            <w:tcW w:w="9838" w:type="dxa"/>
            <w:shd w:val="clear" w:color="auto" w:fill="auto"/>
            <w:tcMar>
              <w:top w:w="72" w:type="dxa"/>
              <w:left w:w="144" w:type="dxa"/>
              <w:bottom w:w="72" w:type="dxa"/>
              <w:right w:w="144" w:type="dxa"/>
            </w:tcMar>
            <w:vAlign w:val="center"/>
          </w:tcPr>
          <w:p w:rsidR="00CC6AC6" w:rsidRPr="00F41E9B" w:rsidRDefault="00CC6AC6" w:rsidP="00F41E9B">
            <w:pPr>
              <w:rPr>
                <w:rFonts w:eastAsia="DIN 2014 Light"/>
                <w:color w:val="000000" w:themeColor="text1"/>
                <w:kern w:val="24"/>
                <w:sz w:val="21"/>
                <w:szCs w:val="21"/>
              </w:rPr>
            </w:pPr>
            <w:r w:rsidRPr="00F41E9B">
              <w:rPr>
                <w:rFonts w:eastAsia="DIN 2014 Light"/>
                <w:color w:val="000000" w:themeColor="text1"/>
                <w:kern w:val="24"/>
                <w:sz w:val="21"/>
                <w:szCs w:val="21"/>
              </w:rPr>
              <w:t xml:space="preserve">Размер </w:t>
            </w:r>
            <w:r w:rsidRPr="00F41E9B">
              <w:rPr>
                <w:rFonts w:eastAsia="DIN 2014 Light"/>
                <w:b/>
                <w:color w:val="000000" w:themeColor="text1"/>
                <w:kern w:val="24"/>
                <w:sz w:val="21"/>
                <w:szCs w:val="21"/>
              </w:rPr>
              <w:t>нетто-ставки</w:t>
            </w:r>
            <w:r w:rsidRPr="00F41E9B">
              <w:rPr>
                <w:rFonts w:eastAsia="DIN 2014 Light"/>
                <w:color w:val="000000" w:themeColor="text1"/>
                <w:kern w:val="24"/>
                <w:sz w:val="21"/>
                <w:szCs w:val="21"/>
              </w:rPr>
              <w:t xml:space="preserve"> зависит от банка, в котором у клиента открыт </w:t>
            </w:r>
            <w:r w:rsidR="00651124" w:rsidRPr="00F41E9B">
              <w:rPr>
                <w:rFonts w:eastAsia="DIN 2014 Light"/>
                <w:color w:val="000000" w:themeColor="text1"/>
                <w:kern w:val="24"/>
                <w:sz w:val="21"/>
                <w:szCs w:val="21"/>
              </w:rPr>
              <w:t>спец.счет</w:t>
            </w:r>
            <w:r w:rsidRPr="00F41E9B">
              <w:rPr>
                <w:rFonts w:eastAsia="DIN 2014 Light"/>
                <w:color w:val="000000" w:themeColor="text1"/>
                <w:kern w:val="24"/>
                <w:sz w:val="21"/>
                <w:szCs w:val="21"/>
              </w:rPr>
              <w:t>:</w:t>
            </w:r>
          </w:p>
          <w:p w:rsidR="00CC6AC6" w:rsidRPr="00F41E9B" w:rsidRDefault="00256549" w:rsidP="00F41E9B">
            <w:pPr>
              <w:pStyle w:val="a4"/>
              <w:numPr>
                <w:ilvl w:val="0"/>
                <w:numId w:val="14"/>
              </w:numPr>
              <w:ind w:left="0"/>
              <w:rPr>
                <w:rFonts w:eastAsia="DIN 2014 Light"/>
                <w:color w:val="000000" w:themeColor="text1"/>
                <w:kern w:val="24"/>
                <w:sz w:val="21"/>
                <w:szCs w:val="21"/>
              </w:rPr>
            </w:pPr>
            <w:r w:rsidRPr="00F41E9B">
              <w:rPr>
                <w:rFonts w:eastAsia="DIN 2014 Light"/>
                <w:color w:val="000000" w:themeColor="text1"/>
                <w:kern w:val="24"/>
                <w:sz w:val="21"/>
                <w:szCs w:val="21"/>
              </w:rPr>
              <w:t>Точка</w:t>
            </w:r>
            <w:r w:rsidR="00CC6AC6" w:rsidRPr="00F41E9B">
              <w:rPr>
                <w:rFonts w:eastAsia="DIN 2014 Light"/>
                <w:color w:val="000000" w:themeColor="text1"/>
                <w:kern w:val="24"/>
                <w:sz w:val="21"/>
                <w:szCs w:val="21"/>
              </w:rPr>
              <w:t xml:space="preserve"> банк</w:t>
            </w:r>
            <w:r w:rsidR="009A7C88">
              <w:rPr>
                <w:rFonts w:eastAsia="DIN 2014 Light"/>
                <w:color w:val="000000" w:themeColor="text1"/>
                <w:kern w:val="24"/>
                <w:sz w:val="21"/>
                <w:szCs w:val="21"/>
              </w:rPr>
              <w:t xml:space="preserve"> или </w:t>
            </w:r>
            <w:r w:rsidR="009A7C88" w:rsidRPr="00F406F6">
              <w:rPr>
                <w:rFonts w:eastAsia="DIN 2014 Light"/>
                <w:color w:val="000000" w:themeColor="text1"/>
                <w:kern w:val="24"/>
                <w:sz w:val="21"/>
                <w:szCs w:val="21"/>
              </w:rPr>
              <w:t>Сбербанк</w:t>
            </w:r>
            <w:r w:rsidR="00CC6AC6" w:rsidRPr="00F41E9B">
              <w:rPr>
                <w:rFonts w:eastAsia="DIN 2014 Light"/>
                <w:color w:val="000000" w:themeColor="text1"/>
                <w:kern w:val="24"/>
                <w:sz w:val="21"/>
                <w:szCs w:val="21"/>
              </w:rPr>
              <w:t xml:space="preserve"> –</w:t>
            </w:r>
            <w:r w:rsidR="002B3DD8" w:rsidRPr="00F41E9B">
              <w:rPr>
                <w:rFonts w:eastAsia="DIN 2014 Light"/>
                <w:color w:val="000000" w:themeColor="text1"/>
                <w:kern w:val="24"/>
                <w:sz w:val="21"/>
                <w:szCs w:val="21"/>
              </w:rPr>
              <w:t xml:space="preserve"> от 2</w:t>
            </w:r>
            <w:r w:rsidR="00BB3922" w:rsidRPr="00F41E9B">
              <w:rPr>
                <w:rFonts w:eastAsia="DIN 2014 Light"/>
                <w:color w:val="000000" w:themeColor="text1"/>
                <w:kern w:val="24"/>
                <w:sz w:val="21"/>
                <w:szCs w:val="21"/>
              </w:rPr>
              <w:t>,</w:t>
            </w:r>
            <w:r w:rsidR="009A7C88">
              <w:rPr>
                <w:rFonts w:eastAsia="DIN 2014 Light"/>
                <w:color w:val="000000" w:themeColor="text1"/>
                <w:kern w:val="24"/>
                <w:sz w:val="21"/>
                <w:szCs w:val="21"/>
              </w:rPr>
              <w:t>0</w:t>
            </w:r>
            <w:r w:rsidRPr="00F41E9B">
              <w:rPr>
                <w:rFonts w:eastAsia="DIN 2014 Light"/>
                <w:color w:val="000000" w:themeColor="text1"/>
                <w:kern w:val="24"/>
                <w:sz w:val="21"/>
                <w:szCs w:val="21"/>
              </w:rPr>
              <w:t>%</w:t>
            </w:r>
            <w:r w:rsidR="002B3DD8" w:rsidRPr="00F41E9B">
              <w:rPr>
                <w:rFonts w:eastAsia="DIN 2014 Light"/>
                <w:color w:val="000000" w:themeColor="text1"/>
                <w:kern w:val="24"/>
                <w:sz w:val="21"/>
                <w:szCs w:val="21"/>
              </w:rPr>
              <w:t xml:space="preserve"> до 3</w:t>
            </w:r>
            <w:r w:rsidR="00BB3922" w:rsidRPr="00F41E9B">
              <w:rPr>
                <w:rFonts w:eastAsia="DIN 2014 Light"/>
                <w:color w:val="000000" w:themeColor="text1"/>
                <w:kern w:val="24"/>
                <w:sz w:val="21"/>
                <w:szCs w:val="21"/>
              </w:rPr>
              <w:t>,0</w:t>
            </w:r>
            <w:r w:rsidR="002B3DD8" w:rsidRPr="00F41E9B">
              <w:rPr>
                <w:rFonts w:eastAsia="DIN 2014 Light"/>
                <w:color w:val="000000" w:themeColor="text1"/>
                <w:kern w:val="24"/>
                <w:sz w:val="21"/>
                <w:szCs w:val="21"/>
              </w:rPr>
              <w:t>%</w:t>
            </w:r>
            <w:r w:rsidR="00CC6AC6" w:rsidRPr="00F41E9B">
              <w:rPr>
                <w:rFonts w:eastAsia="DIN 2014 Light"/>
                <w:color w:val="000000" w:themeColor="text1"/>
                <w:kern w:val="24"/>
                <w:sz w:val="21"/>
                <w:szCs w:val="21"/>
              </w:rPr>
              <w:t xml:space="preserve"> от суммы займа.</w:t>
            </w:r>
          </w:p>
          <w:p w:rsidR="00651124" w:rsidRPr="00F41E9B" w:rsidRDefault="002B3DD8" w:rsidP="00F41E9B">
            <w:pPr>
              <w:pStyle w:val="a4"/>
              <w:numPr>
                <w:ilvl w:val="0"/>
                <w:numId w:val="14"/>
              </w:numPr>
              <w:ind w:left="0"/>
              <w:rPr>
                <w:rFonts w:eastAsia="DIN 2014 Light"/>
                <w:color w:val="000000" w:themeColor="text1"/>
                <w:kern w:val="24"/>
                <w:sz w:val="21"/>
                <w:szCs w:val="21"/>
              </w:rPr>
            </w:pPr>
            <w:r w:rsidRPr="00F41E9B">
              <w:rPr>
                <w:rFonts w:eastAsia="DIN 2014 Light"/>
                <w:color w:val="000000" w:themeColor="text1"/>
                <w:kern w:val="24"/>
                <w:sz w:val="21"/>
                <w:szCs w:val="21"/>
              </w:rPr>
              <w:t>Другие банки</w:t>
            </w:r>
            <w:r w:rsidR="00CC6AC6" w:rsidRPr="00F41E9B">
              <w:rPr>
                <w:rFonts w:eastAsia="DIN 2014 Light"/>
                <w:color w:val="000000" w:themeColor="text1"/>
                <w:kern w:val="24"/>
                <w:sz w:val="21"/>
                <w:szCs w:val="21"/>
              </w:rPr>
              <w:t xml:space="preserve"> – от</w:t>
            </w:r>
            <w:r w:rsidR="00256549" w:rsidRPr="00F41E9B">
              <w:rPr>
                <w:rFonts w:eastAsia="DIN 2014 Light"/>
                <w:color w:val="000000" w:themeColor="text1"/>
                <w:kern w:val="24"/>
                <w:sz w:val="21"/>
                <w:szCs w:val="21"/>
              </w:rPr>
              <w:t xml:space="preserve"> 3</w:t>
            </w:r>
            <w:r w:rsidR="003361AC" w:rsidRPr="00F41E9B">
              <w:rPr>
                <w:rFonts w:eastAsia="DIN 2014 Light"/>
                <w:color w:val="000000" w:themeColor="text1"/>
                <w:kern w:val="24"/>
                <w:sz w:val="21"/>
                <w:szCs w:val="21"/>
              </w:rPr>
              <w:t>,2</w:t>
            </w:r>
            <w:r w:rsidR="00256549" w:rsidRPr="00F41E9B">
              <w:rPr>
                <w:rFonts w:eastAsia="DIN 2014 Light"/>
                <w:color w:val="000000" w:themeColor="text1"/>
                <w:kern w:val="24"/>
                <w:sz w:val="21"/>
                <w:szCs w:val="21"/>
              </w:rPr>
              <w:t>%</w:t>
            </w:r>
            <w:r w:rsidRPr="00F41E9B">
              <w:rPr>
                <w:rFonts w:eastAsia="DIN 2014 Light"/>
                <w:color w:val="000000" w:themeColor="text1"/>
                <w:kern w:val="24"/>
                <w:sz w:val="21"/>
                <w:szCs w:val="21"/>
              </w:rPr>
              <w:t xml:space="preserve"> до 4</w:t>
            </w:r>
            <w:r w:rsidR="003361AC" w:rsidRPr="00F41E9B">
              <w:rPr>
                <w:rFonts w:eastAsia="DIN 2014 Light"/>
                <w:color w:val="000000" w:themeColor="text1"/>
                <w:kern w:val="24"/>
                <w:sz w:val="21"/>
                <w:szCs w:val="21"/>
              </w:rPr>
              <w:t>,0</w:t>
            </w:r>
            <w:r w:rsidRPr="00F41E9B">
              <w:rPr>
                <w:rFonts w:eastAsia="DIN 2014 Light"/>
                <w:color w:val="000000" w:themeColor="text1"/>
                <w:kern w:val="24"/>
                <w:sz w:val="21"/>
                <w:szCs w:val="21"/>
              </w:rPr>
              <w:t>%</w:t>
            </w:r>
            <w:r w:rsidR="00CC6AC6" w:rsidRPr="00F41E9B">
              <w:rPr>
                <w:rFonts w:eastAsia="DIN 2014 Light"/>
                <w:color w:val="000000" w:themeColor="text1"/>
                <w:kern w:val="24"/>
                <w:sz w:val="21"/>
                <w:szCs w:val="21"/>
              </w:rPr>
              <w:t xml:space="preserve"> от суммы займа.</w:t>
            </w:r>
          </w:p>
        </w:tc>
      </w:tr>
      <w:tr w:rsidR="004143B9" w:rsidRPr="00F41E9B" w:rsidTr="00174EF5">
        <w:trPr>
          <w:trHeight w:val="255"/>
          <w:jc w:val="center"/>
        </w:trPr>
        <w:tc>
          <w:tcPr>
            <w:tcW w:w="5382" w:type="dxa"/>
            <w:vMerge w:val="restart"/>
            <w:shd w:val="clear" w:color="auto" w:fill="auto"/>
            <w:tcMar>
              <w:top w:w="72" w:type="dxa"/>
              <w:left w:w="144" w:type="dxa"/>
              <w:bottom w:w="72" w:type="dxa"/>
              <w:right w:w="144" w:type="dxa"/>
            </w:tcMar>
            <w:vAlign w:val="center"/>
          </w:tcPr>
          <w:p w:rsidR="004143B9" w:rsidRPr="00F41E9B" w:rsidRDefault="004143B9" w:rsidP="00F41E9B">
            <w:pPr>
              <w:rPr>
                <w:rFonts w:eastAsia="DIN 2014 Light"/>
                <w:color w:val="000000" w:themeColor="text1"/>
                <w:kern w:val="24"/>
                <w:sz w:val="21"/>
                <w:szCs w:val="21"/>
              </w:rPr>
            </w:pPr>
            <w:r w:rsidRPr="00F41E9B">
              <w:rPr>
                <w:rFonts w:eastAsia="DIN 2014 Light"/>
                <w:color w:val="000000" w:themeColor="text1"/>
                <w:kern w:val="24"/>
                <w:sz w:val="21"/>
                <w:szCs w:val="21"/>
              </w:rPr>
              <w:t>Особые условия</w:t>
            </w:r>
          </w:p>
        </w:tc>
        <w:tc>
          <w:tcPr>
            <w:tcW w:w="9838" w:type="dxa"/>
            <w:shd w:val="clear" w:color="auto" w:fill="auto"/>
            <w:tcMar>
              <w:top w:w="72" w:type="dxa"/>
              <w:left w:w="144" w:type="dxa"/>
              <w:bottom w:w="72" w:type="dxa"/>
              <w:right w:w="144" w:type="dxa"/>
            </w:tcMar>
            <w:vAlign w:val="center"/>
          </w:tcPr>
          <w:p w:rsidR="004143B9" w:rsidRPr="00F41E9B" w:rsidRDefault="004143B9" w:rsidP="00F41E9B">
            <w:pPr>
              <w:pStyle w:val="a4"/>
              <w:numPr>
                <w:ilvl w:val="0"/>
                <w:numId w:val="16"/>
              </w:numPr>
              <w:ind w:left="0"/>
              <w:rPr>
                <w:b/>
                <w:sz w:val="21"/>
                <w:szCs w:val="21"/>
              </w:rPr>
            </w:pPr>
            <w:r w:rsidRPr="00F41E9B">
              <w:rPr>
                <w:sz w:val="21"/>
                <w:szCs w:val="21"/>
              </w:rPr>
              <w:t xml:space="preserve">Если сумма займа составляет </w:t>
            </w:r>
            <w:r w:rsidRPr="00F41E9B">
              <w:rPr>
                <w:b/>
                <w:sz w:val="21"/>
                <w:szCs w:val="21"/>
              </w:rPr>
              <w:t xml:space="preserve">от 100 тыс.руб. до </w:t>
            </w:r>
            <w:r w:rsidR="00912BED" w:rsidRPr="00F41E9B">
              <w:rPr>
                <w:b/>
                <w:sz w:val="21"/>
                <w:szCs w:val="21"/>
              </w:rPr>
              <w:t>3</w:t>
            </w:r>
            <w:r w:rsidRPr="00F41E9B">
              <w:rPr>
                <w:b/>
                <w:sz w:val="21"/>
                <w:szCs w:val="21"/>
              </w:rPr>
              <w:t>00 тыс.руб.</w:t>
            </w:r>
            <w:r w:rsidRPr="00F41E9B">
              <w:rPr>
                <w:sz w:val="21"/>
                <w:szCs w:val="21"/>
              </w:rPr>
              <w:t xml:space="preserve">, то комиссия за </w:t>
            </w:r>
            <w:r w:rsidRPr="00F41E9B">
              <w:rPr>
                <w:b/>
                <w:sz w:val="21"/>
                <w:szCs w:val="21"/>
              </w:rPr>
              <w:t>выдачу составит 10 000,00 рублей.</w:t>
            </w:r>
          </w:p>
        </w:tc>
      </w:tr>
      <w:tr w:rsidR="004143B9" w:rsidRPr="00F41E9B" w:rsidTr="00174EF5">
        <w:trPr>
          <w:trHeight w:val="255"/>
          <w:jc w:val="center"/>
        </w:trPr>
        <w:tc>
          <w:tcPr>
            <w:tcW w:w="5382" w:type="dxa"/>
            <w:vMerge/>
            <w:shd w:val="clear" w:color="auto" w:fill="auto"/>
            <w:tcMar>
              <w:top w:w="72" w:type="dxa"/>
              <w:left w:w="144" w:type="dxa"/>
              <w:bottom w:w="72" w:type="dxa"/>
              <w:right w:w="144" w:type="dxa"/>
            </w:tcMar>
            <w:vAlign w:val="center"/>
          </w:tcPr>
          <w:p w:rsidR="004143B9" w:rsidRPr="00F41E9B" w:rsidRDefault="004143B9" w:rsidP="00F41E9B">
            <w:pPr>
              <w:rPr>
                <w:rFonts w:eastAsia="DIN 2014 Light"/>
                <w:color w:val="000000" w:themeColor="text1"/>
                <w:kern w:val="24"/>
                <w:sz w:val="21"/>
                <w:szCs w:val="21"/>
              </w:rPr>
            </w:pPr>
          </w:p>
        </w:tc>
        <w:tc>
          <w:tcPr>
            <w:tcW w:w="9838" w:type="dxa"/>
            <w:shd w:val="clear" w:color="auto" w:fill="auto"/>
            <w:tcMar>
              <w:top w:w="72" w:type="dxa"/>
              <w:left w:w="144" w:type="dxa"/>
              <w:bottom w:w="72" w:type="dxa"/>
              <w:right w:w="144" w:type="dxa"/>
            </w:tcMar>
            <w:vAlign w:val="center"/>
          </w:tcPr>
          <w:p w:rsidR="004143B9" w:rsidRPr="00F41E9B" w:rsidRDefault="004143B9" w:rsidP="00F41E9B">
            <w:pPr>
              <w:pStyle w:val="a4"/>
              <w:numPr>
                <w:ilvl w:val="0"/>
                <w:numId w:val="16"/>
              </w:numPr>
              <w:ind w:left="0"/>
              <w:rPr>
                <w:sz w:val="21"/>
                <w:szCs w:val="21"/>
              </w:rPr>
            </w:pPr>
            <w:r w:rsidRPr="00F41E9B">
              <w:rPr>
                <w:sz w:val="21"/>
                <w:szCs w:val="21"/>
              </w:rPr>
              <w:t xml:space="preserve">Если сумма займа </w:t>
            </w:r>
            <w:r w:rsidRPr="00F41E9B">
              <w:rPr>
                <w:b/>
                <w:sz w:val="21"/>
                <w:szCs w:val="21"/>
              </w:rPr>
              <w:t xml:space="preserve">выше </w:t>
            </w:r>
            <w:r w:rsidR="00912BED" w:rsidRPr="00F41E9B">
              <w:rPr>
                <w:b/>
                <w:sz w:val="21"/>
                <w:szCs w:val="21"/>
              </w:rPr>
              <w:t>3</w:t>
            </w:r>
            <w:r w:rsidRPr="00F41E9B">
              <w:rPr>
                <w:b/>
                <w:sz w:val="21"/>
                <w:szCs w:val="21"/>
              </w:rPr>
              <w:t>00 тыс.руб., то комиссия за выдачу рассчитывается по условиям указанным выше.</w:t>
            </w:r>
          </w:p>
        </w:tc>
      </w:tr>
      <w:tr w:rsidR="004143B9" w:rsidRPr="00F41E9B" w:rsidTr="00174EF5">
        <w:trPr>
          <w:trHeight w:val="255"/>
          <w:jc w:val="center"/>
        </w:trPr>
        <w:tc>
          <w:tcPr>
            <w:tcW w:w="5382" w:type="dxa"/>
            <w:vMerge/>
            <w:shd w:val="clear" w:color="auto" w:fill="auto"/>
            <w:tcMar>
              <w:top w:w="72" w:type="dxa"/>
              <w:left w:w="144" w:type="dxa"/>
              <w:bottom w:w="72" w:type="dxa"/>
              <w:right w:w="144" w:type="dxa"/>
            </w:tcMar>
            <w:vAlign w:val="center"/>
          </w:tcPr>
          <w:p w:rsidR="004143B9" w:rsidRPr="00F41E9B" w:rsidRDefault="004143B9" w:rsidP="00F41E9B">
            <w:pPr>
              <w:rPr>
                <w:rFonts w:eastAsia="DIN 2014 Light"/>
                <w:color w:val="000000" w:themeColor="text1"/>
                <w:kern w:val="24"/>
                <w:sz w:val="21"/>
                <w:szCs w:val="21"/>
              </w:rPr>
            </w:pPr>
          </w:p>
        </w:tc>
        <w:tc>
          <w:tcPr>
            <w:tcW w:w="9838" w:type="dxa"/>
            <w:shd w:val="clear" w:color="auto" w:fill="auto"/>
            <w:tcMar>
              <w:top w:w="72" w:type="dxa"/>
              <w:left w:w="144" w:type="dxa"/>
              <w:bottom w:w="72" w:type="dxa"/>
              <w:right w:w="144" w:type="dxa"/>
            </w:tcMar>
            <w:vAlign w:val="center"/>
          </w:tcPr>
          <w:p w:rsidR="002C3D70" w:rsidRPr="00F41E9B" w:rsidRDefault="00F953EE" w:rsidP="00F41E9B">
            <w:pPr>
              <w:pStyle w:val="a4"/>
              <w:numPr>
                <w:ilvl w:val="0"/>
                <w:numId w:val="16"/>
              </w:numPr>
              <w:ind w:left="0"/>
              <w:jc w:val="both"/>
              <w:rPr>
                <w:bCs/>
                <w:sz w:val="21"/>
                <w:szCs w:val="21"/>
              </w:rPr>
            </w:pPr>
            <w:r w:rsidRPr="00F41E9B">
              <w:rPr>
                <w:bCs/>
                <w:sz w:val="21"/>
                <w:szCs w:val="21"/>
              </w:rPr>
              <w:t xml:space="preserve">Заем предоставляется при условии предоставления Заемщиком обеспечения обязательства по уплате процентов на Сумму займа (далее – </w:t>
            </w:r>
            <w:r w:rsidRPr="00F41E9B">
              <w:rPr>
                <w:b/>
                <w:bCs/>
                <w:sz w:val="21"/>
                <w:szCs w:val="21"/>
              </w:rPr>
              <w:t>«обеспечительный платеж»</w:t>
            </w:r>
            <w:r w:rsidRPr="00F41E9B">
              <w:rPr>
                <w:bCs/>
                <w:sz w:val="21"/>
                <w:szCs w:val="21"/>
              </w:rPr>
              <w:t>), предоставление которого осуществляется путем перечисления Заемщиком до момента предоставления займа денежной суммы на расчетный счет Займодавца не позднее, чем за 2 (Два) рабочих дня до окончания срока подачи заявок на участ</w:t>
            </w:r>
            <w:r w:rsidR="002C3D70" w:rsidRPr="00F41E9B">
              <w:rPr>
                <w:bCs/>
                <w:sz w:val="21"/>
                <w:szCs w:val="21"/>
              </w:rPr>
              <w:t>ие в закупке.</w:t>
            </w:r>
          </w:p>
          <w:p w:rsidR="004143B9" w:rsidRPr="00F41E9B" w:rsidRDefault="00F953EE" w:rsidP="00F41E9B">
            <w:pPr>
              <w:jc w:val="both"/>
              <w:rPr>
                <w:bCs/>
                <w:sz w:val="21"/>
                <w:szCs w:val="21"/>
              </w:rPr>
            </w:pPr>
            <w:r w:rsidRPr="00F41E9B">
              <w:rPr>
                <w:b/>
                <w:bCs/>
                <w:sz w:val="21"/>
                <w:szCs w:val="21"/>
              </w:rPr>
              <w:t>Размер обеспечительного платежа</w:t>
            </w:r>
            <w:r w:rsidRPr="00F41E9B">
              <w:rPr>
                <w:bCs/>
                <w:sz w:val="21"/>
                <w:szCs w:val="21"/>
              </w:rPr>
              <w:t xml:space="preserve"> от </w:t>
            </w:r>
            <w:r w:rsidRPr="00F41E9B">
              <w:rPr>
                <w:b/>
                <w:bCs/>
                <w:sz w:val="21"/>
                <w:szCs w:val="21"/>
              </w:rPr>
              <w:t>2,0% до 4,0%</w:t>
            </w:r>
            <w:r w:rsidRPr="00F41E9B">
              <w:rPr>
                <w:bCs/>
                <w:sz w:val="21"/>
                <w:szCs w:val="21"/>
              </w:rPr>
              <w:t xml:space="preserve"> (в зависимости от  результатов скоринга и аукциона) от Суммы займа, </w:t>
            </w:r>
            <w:r w:rsidRPr="00F41E9B">
              <w:rPr>
                <w:b/>
                <w:bCs/>
                <w:sz w:val="21"/>
                <w:szCs w:val="21"/>
              </w:rPr>
              <w:t>но не менее 5 000 (Пяти тысяч) рублей 00 копеек.</w:t>
            </w:r>
          </w:p>
        </w:tc>
      </w:tr>
      <w:tr w:rsidR="005A310A" w:rsidRPr="00F41E9B" w:rsidTr="00174EF5">
        <w:trPr>
          <w:trHeight w:val="164"/>
          <w:jc w:val="center"/>
        </w:trPr>
        <w:tc>
          <w:tcPr>
            <w:tcW w:w="5382"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Возможность пролонгации</w:t>
            </w:r>
            <w:r w:rsidR="004B0A25" w:rsidRPr="00F41E9B">
              <w:rPr>
                <w:rFonts w:eastAsia="DIN 2014"/>
                <w:color w:val="000000" w:themeColor="text1"/>
                <w:kern w:val="24"/>
                <w:sz w:val="21"/>
                <w:szCs w:val="21"/>
              </w:rPr>
              <w:t xml:space="preserve"> займа</w:t>
            </w:r>
          </w:p>
        </w:tc>
        <w:tc>
          <w:tcPr>
            <w:tcW w:w="9838" w:type="dxa"/>
            <w:shd w:val="clear" w:color="auto" w:fill="auto"/>
            <w:tcMar>
              <w:top w:w="72" w:type="dxa"/>
              <w:left w:w="144" w:type="dxa"/>
              <w:bottom w:w="72" w:type="dxa"/>
              <w:right w:w="144" w:type="dxa"/>
            </w:tcMar>
            <w:vAlign w:val="center"/>
            <w:hideMark/>
          </w:tcPr>
          <w:p w:rsidR="005A310A" w:rsidRPr="00F41E9B" w:rsidRDefault="006E638D" w:rsidP="00F41E9B">
            <w:pPr>
              <w:pStyle w:val="a4"/>
              <w:ind w:left="0"/>
              <w:rPr>
                <w:sz w:val="21"/>
                <w:szCs w:val="21"/>
              </w:rPr>
            </w:pPr>
            <w:r w:rsidRPr="00F41E9B">
              <w:rPr>
                <w:sz w:val="21"/>
                <w:szCs w:val="21"/>
              </w:rPr>
              <w:t>Рассматривается в индивидуальном порядке</w:t>
            </w:r>
          </w:p>
        </w:tc>
      </w:tr>
      <w:tr w:rsidR="005A310A" w:rsidRPr="00F41E9B" w:rsidTr="00174EF5">
        <w:trPr>
          <w:trHeight w:val="208"/>
          <w:jc w:val="center"/>
        </w:trPr>
        <w:tc>
          <w:tcPr>
            <w:tcW w:w="5382"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 xml:space="preserve">Минимальный срок регистрации компании заемщика </w:t>
            </w:r>
          </w:p>
        </w:tc>
        <w:tc>
          <w:tcPr>
            <w:tcW w:w="9838" w:type="dxa"/>
            <w:shd w:val="clear" w:color="auto" w:fill="auto"/>
            <w:tcMar>
              <w:top w:w="72" w:type="dxa"/>
              <w:left w:w="144" w:type="dxa"/>
              <w:bottom w:w="72" w:type="dxa"/>
              <w:right w:w="144" w:type="dxa"/>
            </w:tcMar>
            <w:vAlign w:val="center"/>
            <w:hideMark/>
          </w:tcPr>
          <w:p w:rsidR="005A310A" w:rsidRPr="00F41E9B" w:rsidRDefault="00912BED" w:rsidP="00F41E9B">
            <w:pPr>
              <w:rPr>
                <w:color w:val="auto"/>
                <w:sz w:val="21"/>
                <w:szCs w:val="21"/>
              </w:rPr>
            </w:pPr>
            <w:r w:rsidRPr="00F41E9B">
              <w:rPr>
                <w:color w:val="auto"/>
                <w:sz w:val="21"/>
                <w:szCs w:val="21"/>
              </w:rPr>
              <w:t>12 месяцев</w:t>
            </w:r>
          </w:p>
        </w:tc>
      </w:tr>
      <w:tr w:rsidR="005A310A" w:rsidRPr="00F41E9B" w:rsidTr="00174EF5">
        <w:trPr>
          <w:trHeight w:val="212"/>
          <w:jc w:val="center"/>
        </w:trPr>
        <w:tc>
          <w:tcPr>
            <w:tcW w:w="5382" w:type="dxa"/>
            <w:shd w:val="clear" w:color="auto" w:fill="auto"/>
            <w:tcMar>
              <w:top w:w="72" w:type="dxa"/>
              <w:left w:w="144" w:type="dxa"/>
              <w:bottom w:w="72" w:type="dxa"/>
              <w:right w:w="144" w:type="dxa"/>
            </w:tcMar>
            <w:vAlign w:val="center"/>
            <w:hideMark/>
          </w:tcPr>
          <w:p w:rsidR="005A310A" w:rsidRPr="00F41E9B" w:rsidRDefault="00290B5C" w:rsidP="00F41E9B">
            <w:pPr>
              <w:rPr>
                <w:color w:val="auto"/>
                <w:sz w:val="21"/>
                <w:szCs w:val="21"/>
              </w:rPr>
            </w:pPr>
            <w:r w:rsidRPr="00F41E9B">
              <w:rPr>
                <w:rFonts w:eastAsia="DIN 2014"/>
                <w:color w:val="000000" w:themeColor="text1"/>
                <w:kern w:val="24"/>
                <w:sz w:val="21"/>
                <w:szCs w:val="21"/>
              </w:rPr>
              <w:t>Закон</w:t>
            </w:r>
          </w:p>
        </w:tc>
        <w:tc>
          <w:tcPr>
            <w:tcW w:w="9838" w:type="dxa"/>
            <w:shd w:val="clear" w:color="auto" w:fill="auto"/>
            <w:tcMar>
              <w:top w:w="72" w:type="dxa"/>
              <w:left w:w="144" w:type="dxa"/>
              <w:bottom w:w="72" w:type="dxa"/>
              <w:right w:w="144" w:type="dxa"/>
            </w:tcMar>
            <w:vAlign w:val="center"/>
            <w:hideMark/>
          </w:tcPr>
          <w:p w:rsidR="005A310A" w:rsidRPr="00F41E9B" w:rsidRDefault="00912BED" w:rsidP="00F41E9B">
            <w:pPr>
              <w:rPr>
                <w:sz w:val="21"/>
                <w:szCs w:val="21"/>
              </w:rPr>
            </w:pPr>
            <w:r w:rsidRPr="00F41E9B">
              <w:rPr>
                <w:sz w:val="21"/>
                <w:szCs w:val="21"/>
              </w:rPr>
              <w:t>44-ФЗ, 223-ФЗ и 615-П</w:t>
            </w:r>
            <w:r w:rsidR="009B3062" w:rsidRPr="00F41E9B">
              <w:rPr>
                <w:sz w:val="21"/>
                <w:szCs w:val="21"/>
              </w:rPr>
              <w:t>П (185-ФЗ)</w:t>
            </w:r>
          </w:p>
        </w:tc>
      </w:tr>
      <w:tr w:rsidR="005A310A" w:rsidRPr="00F41E9B" w:rsidTr="00174EF5">
        <w:trPr>
          <w:trHeight w:val="110"/>
          <w:jc w:val="center"/>
        </w:trPr>
        <w:tc>
          <w:tcPr>
            <w:tcW w:w="5382"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 xml:space="preserve">Срок рассмотрения заявки о предоставлении займа </w:t>
            </w:r>
          </w:p>
        </w:tc>
        <w:tc>
          <w:tcPr>
            <w:tcW w:w="9838"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Light"/>
                <w:color w:val="000000" w:themeColor="text1"/>
                <w:kern w:val="24"/>
                <w:sz w:val="21"/>
                <w:szCs w:val="21"/>
              </w:rPr>
              <w:t>в течени</w:t>
            </w:r>
            <w:r w:rsidR="006F1C40" w:rsidRPr="00F41E9B">
              <w:rPr>
                <w:rFonts w:eastAsia="DIN 2014 Light"/>
                <w:color w:val="000000" w:themeColor="text1"/>
                <w:kern w:val="24"/>
                <w:sz w:val="21"/>
                <w:szCs w:val="21"/>
              </w:rPr>
              <w:t>е</w:t>
            </w:r>
            <w:r w:rsidRPr="00F41E9B">
              <w:rPr>
                <w:rFonts w:eastAsia="DIN 2014 Light"/>
                <w:color w:val="000000" w:themeColor="text1"/>
                <w:kern w:val="24"/>
                <w:sz w:val="21"/>
                <w:szCs w:val="21"/>
              </w:rPr>
              <w:t xml:space="preserve"> 1 часа</w:t>
            </w:r>
          </w:p>
        </w:tc>
      </w:tr>
      <w:tr w:rsidR="005A310A" w:rsidRPr="00F41E9B" w:rsidTr="00174EF5">
        <w:trPr>
          <w:trHeight w:val="236"/>
          <w:jc w:val="center"/>
        </w:trPr>
        <w:tc>
          <w:tcPr>
            <w:tcW w:w="5382"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 xml:space="preserve">Выдача займа </w:t>
            </w:r>
          </w:p>
        </w:tc>
        <w:tc>
          <w:tcPr>
            <w:tcW w:w="9838"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Light"/>
                <w:color w:val="000000" w:themeColor="text1"/>
                <w:kern w:val="24"/>
                <w:sz w:val="21"/>
                <w:szCs w:val="21"/>
              </w:rPr>
              <w:t>в течени</w:t>
            </w:r>
            <w:r w:rsidR="006F1C40" w:rsidRPr="00F41E9B">
              <w:rPr>
                <w:rFonts w:eastAsia="DIN 2014 Light"/>
                <w:color w:val="000000" w:themeColor="text1"/>
                <w:kern w:val="24"/>
                <w:sz w:val="21"/>
                <w:szCs w:val="21"/>
              </w:rPr>
              <w:t>е</w:t>
            </w:r>
            <w:r w:rsidRPr="00F41E9B">
              <w:rPr>
                <w:rFonts w:eastAsia="DIN 2014 Light"/>
                <w:color w:val="000000" w:themeColor="text1"/>
                <w:kern w:val="24"/>
                <w:sz w:val="21"/>
                <w:szCs w:val="21"/>
              </w:rPr>
              <w:t xml:space="preserve"> рабочего дня </w:t>
            </w:r>
          </w:p>
        </w:tc>
      </w:tr>
      <w:tr w:rsidR="009616F5" w:rsidRPr="00F41E9B" w:rsidTr="00174EF5">
        <w:trPr>
          <w:trHeight w:val="236"/>
          <w:jc w:val="center"/>
        </w:trPr>
        <w:tc>
          <w:tcPr>
            <w:tcW w:w="5382" w:type="dxa"/>
            <w:shd w:val="clear" w:color="auto" w:fill="auto"/>
            <w:tcMar>
              <w:top w:w="72" w:type="dxa"/>
              <w:left w:w="144" w:type="dxa"/>
              <w:bottom w:w="72" w:type="dxa"/>
              <w:right w:w="144" w:type="dxa"/>
            </w:tcMar>
            <w:vAlign w:val="center"/>
          </w:tcPr>
          <w:p w:rsidR="009616F5" w:rsidRPr="00F41E9B" w:rsidRDefault="009616F5" w:rsidP="00F41E9B">
            <w:pPr>
              <w:rPr>
                <w:rFonts w:eastAsia="DIN 2014"/>
                <w:color w:val="000000" w:themeColor="text1"/>
                <w:kern w:val="24"/>
                <w:sz w:val="21"/>
                <w:szCs w:val="21"/>
              </w:rPr>
            </w:pPr>
            <w:r w:rsidRPr="00F41E9B">
              <w:rPr>
                <w:rFonts w:eastAsia="DIN 2014"/>
                <w:color w:val="000000" w:themeColor="text1"/>
                <w:kern w:val="24"/>
                <w:sz w:val="21"/>
                <w:szCs w:val="21"/>
              </w:rPr>
              <w:t>Открытие расчетного счета</w:t>
            </w:r>
          </w:p>
        </w:tc>
        <w:tc>
          <w:tcPr>
            <w:tcW w:w="9838" w:type="dxa"/>
            <w:shd w:val="clear" w:color="auto" w:fill="auto"/>
            <w:tcMar>
              <w:top w:w="72" w:type="dxa"/>
              <w:left w:w="144" w:type="dxa"/>
              <w:bottom w:w="72" w:type="dxa"/>
              <w:right w:w="144" w:type="dxa"/>
            </w:tcMar>
            <w:vAlign w:val="center"/>
          </w:tcPr>
          <w:p w:rsidR="009616F5" w:rsidRPr="00F41E9B" w:rsidRDefault="009616F5" w:rsidP="00F41E9B">
            <w:pPr>
              <w:rPr>
                <w:rFonts w:eastAsia="DIN 2014 Light"/>
                <w:color w:val="000000" w:themeColor="text1"/>
                <w:kern w:val="24"/>
                <w:sz w:val="21"/>
                <w:szCs w:val="21"/>
              </w:rPr>
            </w:pPr>
            <w:r w:rsidRPr="00F41E9B">
              <w:rPr>
                <w:rFonts w:eastAsia="DIN 2014 Light"/>
                <w:color w:val="000000" w:themeColor="text1"/>
                <w:kern w:val="24"/>
                <w:sz w:val="21"/>
                <w:szCs w:val="21"/>
              </w:rPr>
              <w:t>Не требуется</w:t>
            </w:r>
          </w:p>
        </w:tc>
      </w:tr>
      <w:tr w:rsidR="009616F5" w:rsidRPr="00F41E9B" w:rsidTr="00F41E9B">
        <w:trPr>
          <w:trHeight w:val="226"/>
          <w:jc w:val="center"/>
        </w:trPr>
        <w:tc>
          <w:tcPr>
            <w:tcW w:w="5382" w:type="dxa"/>
            <w:shd w:val="clear" w:color="auto" w:fill="auto"/>
            <w:tcMar>
              <w:top w:w="72" w:type="dxa"/>
              <w:left w:w="144" w:type="dxa"/>
              <w:bottom w:w="72" w:type="dxa"/>
              <w:right w:w="144" w:type="dxa"/>
            </w:tcMar>
            <w:vAlign w:val="center"/>
          </w:tcPr>
          <w:p w:rsidR="009616F5" w:rsidRPr="00F41E9B" w:rsidRDefault="009616F5" w:rsidP="00F41E9B">
            <w:pPr>
              <w:rPr>
                <w:rFonts w:eastAsia="DIN 2014"/>
                <w:b/>
                <w:color w:val="000000" w:themeColor="text1"/>
                <w:kern w:val="24"/>
                <w:sz w:val="21"/>
                <w:szCs w:val="21"/>
              </w:rPr>
            </w:pPr>
            <w:r w:rsidRPr="00F41E9B">
              <w:rPr>
                <w:rFonts w:eastAsia="DIN 2014"/>
                <w:b/>
                <w:color w:val="000000" w:themeColor="text1"/>
                <w:kern w:val="24"/>
                <w:sz w:val="21"/>
                <w:szCs w:val="21"/>
              </w:rPr>
              <w:t>Обеспечение</w:t>
            </w:r>
          </w:p>
        </w:tc>
        <w:tc>
          <w:tcPr>
            <w:tcW w:w="9838" w:type="dxa"/>
            <w:shd w:val="clear" w:color="auto" w:fill="auto"/>
            <w:tcMar>
              <w:top w:w="72" w:type="dxa"/>
              <w:left w:w="144" w:type="dxa"/>
              <w:bottom w:w="72" w:type="dxa"/>
              <w:right w:w="144" w:type="dxa"/>
            </w:tcMar>
            <w:vAlign w:val="center"/>
          </w:tcPr>
          <w:p w:rsidR="009616F5" w:rsidRPr="00F41E9B" w:rsidRDefault="009616F5" w:rsidP="00F41E9B">
            <w:pPr>
              <w:rPr>
                <w:rFonts w:eastAsia="DIN 2014 Light"/>
                <w:color w:val="000000" w:themeColor="text1"/>
                <w:kern w:val="24"/>
                <w:sz w:val="21"/>
                <w:szCs w:val="21"/>
              </w:rPr>
            </w:pPr>
            <w:r w:rsidRPr="00F41E9B">
              <w:rPr>
                <w:b/>
                <w:sz w:val="21"/>
                <w:szCs w:val="21"/>
              </w:rPr>
              <w:t>Поручительство</w:t>
            </w:r>
            <w:r w:rsidR="00D62006" w:rsidRPr="00F41E9B">
              <w:rPr>
                <w:b/>
                <w:sz w:val="21"/>
                <w:szCs w:val="21"/>
              </w:rPr>
              <w:t xml:space="preserve"> всех учредителей, с долей 25% и более в капитале,</w:t>
            </w:r>
            <w:r w:rsidRPr="00F41E9B">
              <w:rPr>
                <w:b/>
                <w:sz w:val="21"/>
                <w:szCs w:val="21"/>
              </w:rPr>
              <w:t xml:space="preserve"> в размере выдаваемого займа</w:t>
            </w:r>
          </w:p>
        </w:tc>
      </w:tr>
      <w:tr w:rsidR="005A310A" w:rsidRPr="00F41E9B" w:rsidTr="00174EF5">
        <w:trPr>
          <w:trHeight w:val="209"/>
          <w:jc w:val="center"/>
        </w:trPr>
        <w:tc>
          <w:tcPr>
            <w:tcW w:w="5382" w:type="dxa"/>
            <w:shd w:val="clear" w:color="auto" w:fill="auto"/>
            <w:tcMar>
              <w:top w:w="72" w:type="dxa"/>
              <w:left w:w="144" w:type="dxa"/>
              <w:bottom w:w="72" w:type="dxa"/>
              <w:right w:w="144" w:type="dxa"/>
            </w:tcMar>
            <w:vAlign w:val="center"/>
            <w:hideMark/>
          </w:tcPr>
          <w:p w:rsidR="005A310A" w:rsidRPr="00F41E9B" w:rsidRDefault="00D856DD" w:rsidP="00F41E9B">
            <w:pPr>
              <w:rPr>
                <w:color w:val="auto"/>
                <w:sz w:val="21"/>
                <w:szCs w:val="21"/>
              </w:rPr>
            </w:pPr>
            <w:r w:rsidRPr="00F41E9B">
              <w:rPr>
                <w:color w:val="auto"/>
                <w:sz w:val="21"/>
                <w:szCs w:val="21"/>
              </w:rPr>
              <w:t>Электронные площадки</w:t>
            </w:r>
            <w:r w:rsidR="002D4740" w:rsidRPr="00F41E9B">
              <w:rPr>
                <w:color w:val="auto"/>
                <w:sz w:val="21"/>
                <w:szCs w:val="21"/>
              </w:rPr>
              <w:t xml:space="preserve"> </w:t>
            </w:r>
          </w:p>
        </w:tc>
        <w:tc>
          <w:tcPr>
            <w:tcW w:w="9838" w:type="dxa"/>
            <w:shd w:val="clear" w:color="auto" w:fill="auto"/>
            <w:tcMar>
              <w:top w:w="72" w:type="dxa"/>
              <w:left w:w="144" w:type="dxa"/>
              <w:bottom w:w="72" w:type="dxa"/>
              <w:right w:w="144" w:type="dxa"/>
            </w:tcMar>
            <w:vAlign w:val="center"/>
            <w:hideMark/>
          </w:tcPr>
          <w:p w:rsidR="00F9031E" w:rsidRPr="00F41E9B" w:rsidRDefault="00E01CA2" w:rsidP="00F41E9B">
            <w:pPr>
              <w:rPr>
                <w:color w:val="auto"/>
                <w:sz w:val="21"/>
                <w:szCs w:val="21"/>
              </w:rPr>
            </w:pPr>
            <w:r w:rsidRPr="00F41E9B">
              <w:rPr>
                <w:rFonts w:eastAsia="DIN 2014 Light"/>
                <w:color w:val="000000" w:themeColor="text1"/>
                <w:kern w:val="24"/>
                <w:sz w:val="21"/>
                <w:szCs w:val="21"/>
              </w:rPr>
              <w:t>Все электронные площадки согласно 44-ФЗ, 223-ФЗ и 615-ПП (185-ФЗ)</w:t>
            </w:r>
          </w:p>
        </w:tc>
      </w:tr>
      <w:tr w:rsidR="005A310A" w:rsidRPr="00F41E9B" w:rsidTr="00174EF5">
        <w:trPr>
          <w:trHeight w:val="13"/>
          <w:jc w:val="center"/>
        </w:trPr>
        <w:tc>
          <w:tcPr>
            <w:tcW w:w="5382" w:type="dxa"/>
            <w:shd w:val="clear" w:color="auto" w:fill="auto"/>
            <w:tcMar>
              <w:top w:w="72" w:type="dxa"/>
              <w:left w:w="144" w:type="dxa"/>
              <w:bottom w:w="72" w:type="dxa"/>
              <w:right w:w="144" w:type="dxa"/>
            </w:tcMar>
            <w:vAlign w:val="center"/>
            <w:hideMark/>
          </w:tcPr>
          <w:p w:rsidR="005A310A" w:rsidRPr="00F41E9B" w:rsidRDefault="00F90530" w:rsidP="00F41E9B">
            <w:pPr>
              <w:rPr>
                <w:color w:val="auto"/>
                <w:sz w:val="21"/>
                <w:szCs w:val="21"/>
              </w:rPr>
            </w:pPr>
            <w:r w:rsidRPr="00F41E9B">
              <w:rPr>
                <w:rFonts w:eastAsia="DIN 2014"/>
                <w:color w:val="000000" w:themeColor="text1"/>
                <w:kern w:val="24"/>
                <w:sz w:val="21"/>
                <w:szCs w:val="21"/>
              </w:rPr>
              <w:t>Регион Заёмщика</w:t>
            </w:r>
            <w:r w:rsidR="005A310A" w:rsidRPr="00F41E9B">
              <w:rPr>
                <w:rFonts w:eastAsia="DIN 2014"/>
                <w:color w:val="000000" w:themeColor="text1"/>
                <w:kern w:val="24"/>
                <w:sz w:val="21"/>
                <w:szCs w:val="21"/>
              </w:rPr>
              <w:t xml:space="preserve"> </w:t>
            </w:r>
          </w:p>
        </w:tc>
        <w:tc>
          <w:tcPr>
            <w:tcW w:w="9838" w:type="dxa"/>
            <w:shd w:val="clear" w:color="auto" w:fill="auto"/>
            <w:tcMar>
              <w:top w:w="72" w:type="dxa"/>
              <w:left w:w="144" w:type="dxa"/>
              <w:bottom w:w="72" w:type="dxa"/>
              <w:right w:w="144" w:type="dxa"/>
            </w:tcMar>
            <w:vAlign w:val="center"/>
            <w:hideMark/>
          </w:tcPr>
          <w:p w:rsidR="005A310A" w:rsidRPr="00F41E9B" w:rsidRDefault="00F90530" w:rsidP="00F41E9B">
            <w:pPr>
              <w:rPr>
                <w:rFonts w:eastAsia="DIN 2014 Light"/>
                <w:color w:val="000000" w:themeColor="text1"/>
                <w:kern w:val="24"/>
                <w:sz w:val="21"/>
                <w:szCs w:val="21"/>
              </w:rPr>
            </w:pPr>
            <w:r w:rsidRPr="00F41E9B">
              <w:rPr>
                <w:rFonts w:eastAsia="DIN 2014 Light"/>
                <w:color w:val="000000" w:themeColor="text1"/>
                <w:kern w:val="24"/>
                <w:sz w:val="21"/>
                <w:szCs w:val="21"/>
              </w:rPr>
              <w:t>В</w:t>
            </w:r>
            <w:r w:rsidR="005A310A" w:rsidRPr="00F41E9B">
              <w:rPr>
                <w:rFonts w:eastAsia="DIN 2014 Light"/>
                <w:color w:val="000000" w:themeColor="text1"/>
                <w:kern w:val="24"/>
                <w:sz w:val="21"/>
                <w:szCs w:val="21"/>
              </w:rPr>
              <w:t>се</w:t>
            </w:r>
            <w:r w:rsidR="00A91C38" w:rsidRPr="00F41E9B">
              <w:rPr>
                <w:rFonts w:eastAsia="DIN 2014 Light"/>
                <w:color w:val="000000" w:themeColor="text1"/>
                <w:kern w:val="24"/>
                <w:sz w:val="21"/>
                <w:szCs w:val="21"/>
              </w:rPr>
              <w:t xml:space="preserve"> регионы</w:t>
            </w:r>
            <w:r w:rsidR="00FD6AC9" w:rsidRPr="00F41E9B">
              <w:rPr>
                <w:rFonts w:eastAsia="DIN 2014 Light"/>
                <w:color w:val="000000" w:themeColor="text1"/>
                <w:kern w:val="24"/>
                <w:sz w:val="21"/>
                <w:szCs w:val="21"/>
              </w:rPr>
              <w:t xml:space="preserve">, </w:t>
            </w:r>
            <w:r w:rsidR="003B2F51" w:rsidRPr="00F41E9B">
              <w:rPr>
                <w:rFonts w:eastAsia="DIN 2014 Light"/>
                <w:color w:val="000000" w:themeColor="text1"/>
                <w:kern w:val="24"/>
                <w:sz w:val="21"/>
                <w:szCs w:val="21"/>
              </w:rPr>
              <w:t>кроме СКФО</w:t>
            </w:r>
            <w:r w:rsidR="00A91C38" w:rsidRPr="00F41E9B">
              <w:rPr>
                <w:rFonts w:eastAsia="DIN 2014 Light"/>
                <w:color w:val="000000" w:themeColor="text1"/>
                <w:kern w:val="24"/>
                <w:sz w:val="21"/>
                <w:szCs w:val="21"/>
              </w:rPr>
              <w:t xml:space="preserve">: </w:t>
            </w:r>
            <w:r w:rsidR="008D4CFA" w:rsidRPr="00F41E9B">
              <w:rPr>
                <w:sz w:val="21"/>
                <w:szCs w:val="21"/>
              </w:rPr>
              <w:t>Дагестан</w:t>
            </w:r>
            <w:r w:rsidR="00F05F5D" w:rsidRPr="00F41E9B">
              <w:rPr>
                <w:sz w:val="21"/>
                <w:szCs w:val="21"/>
              </w:rPr>
              <w:t>, Чечня, Ингушетия; и Республики</w:t>
            </w:r>
            <w:r w:rsidR="008D4CFA" w:rsidRPr="00F41E9B">
              <w:rPr>
                <w:sz w:val="21"/>
                <w:szCs w:val="21"/>
              </w:rPr>
              <w:t xml:space="preserve"> Крым</w:t>
            </w:r>
            <w:r w:rsidR="00A91C38" w:rsidRPr="00F41E9B">
              <w:rPr>
                <w:sz w:val="21"/>
                <w:szCs w:val="21"/>
              </w:rPr>
              <w:t>.</w:t>
            </w:r>
          </w:p>
        </w:tc>
      </w:tr>
    </w:tbl>
    <w:p w:rsidR="007327EF" w:rsidRPr="00F41E9B" w:rsidRDefault="007327EF">
      <w:pPr>
        <w:rPr>
          <w:sz w:val="20"/>
          <w:szCs w:val="20"/>
        </w:rPr>
      </w:pPr>
    </w:p>
    <w:sectPr w:rsidR="007327EF" w:rsidRPr="00F41E9B" w:rsidSect="00FD6AC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B1" w:rsidRDefault="009C26B1" w:rsidP="007327EF">
      <w:r>
        <w:separator/>
      </w:r>
    </w:p>
  </w:endnote>
  <w:endnote w:type="continuationSeparator" w:id="0">
    <w:p w:rsidR="009C26B1" w:rsidRDefault="009C26B1" w:rsidP="0073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IN 2014 Light">
    <w:altName w:val="Segoe Script"/>
    <w:panose1 w:val="00000000000000000000"/>
    <w:charset w:val="00"/>
    <w:family w:val="swiss"/>
    <w:notTrueType/>
    <w:pitch w:val="variable"/>
    <w:sig w:usb0="A00002F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DIN 2014">
    <w:altName w:val="Segoe Script"/>
    <w:panose1 w:val="00000000000000000000"/>
    <w:charset w:val="00"/>
    <w:family w:val="swiss"/>
    <w:notTrueType/>
    <w:pitch w:val="variable"/>
    <w:sig w:usb0="A00002F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B1" w:rsidRDefault="009C26B1" w:rsidP="007327EF">
      <w:r>
        <w:separator/>
      </w:r>
    </w:p>
  </w:footnote>
  <w:footnote w:type="continuationSeparator" w:id="0">
    <w:p w:rsidR="009C26B1" w:rsidRDefault="009C26B1" w:rsidP="0073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069"/>
    <w:multiLevelType w:val="hybridMultilevel"/>
    <w:tmpl w:val="EB048CA0"/>
    <w:lvl w:ilvl="0" w:tplc="617C5D5E">
      <w:start w:val="1"/>
      <w:numFmt w:val="decimal"/>
      <w:lvlText w:val="%1."/>
      <w:lvlJc w:val="left"/>
      <w:pPr>
        <w:tabs>
          <w:tab w:val="num" w:pos="720"/>
        </w:tabs>
        <w:ind w:left="720" w:hanging="360"/>
      </w:pPr>
      <w:rPr>
        <w:rFonts w:ascii="Times New Roman" w:eastAsia="DIN 2014 Light" w:hAnsi="Times New Roman" w:cs="Times New Roman"/>
        <w:b w:val="0"/>
      </w:rPr>
    </w:lvl>
    <w:lvl w:ilvl="1" w:tplc="68469ACA" w:tentative="1">
      <w:start w:val="1"/>
      <w:numFmt w:val="bullet"/>
      <w:lvlText w:val="•"/>
      <w:lvlJc w:val="left"/>
      <w:pPr>
        <w:tabs>
          <w:tab w:val="num" w:pos="1440"/>
        </w:tabs>
        <w:ind w:left="1440" w:hanging="360"/>
      </w:pPr>
      <w:rPr>
        <w:rFonts w:ascii="Arial" w:hAnsi="Arial" w:hint="default"/>
      </w:rPr>
    </w:lvl>
    <w:lvl w:ilvl="2" w:tplc="BD9EE11A" w:tentative="1">
      <w:start w:val="1"/>
      <w:numFmt w:val="bullet"/>
      <w:lvlText w:val="•"/>
      <w:lvlJc w:val="left"/>
      <w:pPr>
        <w:tabs>
          <w:tab w:val="num" w:pos="2160"/>
        </w:tabs>
        <w:ind w:left="2160" w:hanging="360"/>
      </w:pPr>
      <w:rPr>
        <w:rFonts w:ascii="Arial" w:hAnsi="Arial" w:hint="default"/>
      </w:rPr>
    </w:lvl>
    <w:lvl w:ilvl="3" w:tplc="62B052B6" w:tentative="1">
      <w:start w:val="1"/>
      <w:numFmt w:val="bullet"/>
      <w:lvlText w:val="•"/>
      <w:lvlJc w:val="left"/>
      <w:pPr>
        <w:tabs>
          <w:tab w:val="num" w:pos="2880"/>
        </w:tabs>
        <w:ind w:left="2880" w:hanging="360"/>
      </w:pPr>
      <w:rPr>
        <w:rFonts w:ascii="Arial" w:hAnsi="Arial" w:hint="default"/>
      </w:rPr>
    </w:lvl>
    <w:lvl w:ilvl="4" w:tplc="9F1A3678" w:tentative="1">
      <w:start w:val="1"/>
      <w:numFmt w:val="bullet"/>
      <w:lvlText w:val="•"/>
      <w:lvlJc w:val="left"/>
      <w:pPr>
        <w:tabs>
          <w:tab w:val="num" w:pos="3600"/>
        </w:tabs>
        <w:ind w:left="3600" w:hanging="360"/>
      </w:pPr>
      <w:rPr>
        <w:rFonts w:ascii="Arial" w:hAnsi="Arial" w:hint="default"/>
      </w:rPr>
    </w:lvl>
    <w:lvl w:ilvl="5" w:tplc="24F2BB90" w:tentative="1">
      <w:start w:val="1"/>
      <w:numFmt w:val="bullet"/>
      <w:lvlText w:val="•"/>
      <w:lvlJc w:val="left"/>
      <w:pPr>
        <w:tabs>
          <w:tab w:val="num" w:pos="4320"/>
        </w:tabs>
        <w:ind w:left="4320" w:hanging="360"/>
      </w:pPr>
      <w:rPr>
        <w:rFonts w:ascii="Arial" w:hAnsi="Arial" w:hint="default"/>
      </w:rPr>
    </w:lvl>
    <w:lvl w:ilvl="6" w:tplc="24FE8B7A" w:tentative="1">
      <w:start w:val="1"/>
      <w:numFmt w:val="bullet"/>
      <w:lvlText w:val="•"/>
      <w:lvlJc w:val="left"/>
      <w:pPr>
        <w:tabs>
          <w:tab w:val="num" w:pos="5040"/>
        </w:tabs>
        <w:ind w:left="5040" w:hanging="360"/>
      </w:pPr>
      <w:rPr>
        <w:rFonts w:ascii="Arial" w:hAnsi="Arial" w:hint="default"/>
      </w:rPr>
    </w:lvl>
    <w:lvl w:ilvl="7" w:tplc="57C69F88" w:tentative="1">
      <w:start w:val="1"/>
      <w:numFmt w:val="bullet"/>
      <w:lvlText w:val="•"/>
      <w:lvlJc w:val="left"/>
      <w:pPr>
        <w:tabs>
          <w:tab w:val="num" w:pos="5760"/>
        </w:tabs>
        <w:ind w:left="5760" w:hanging="360"/>
      </w:pPr>
      <w:rPr>
        <w:rFonts w:ascii="Arial" w:hAnsi="Arial" w:hint="default"/>
      </w:rPr>
    </w:lvl>
    <w:lvl w:ilvl="8" w:tplc="AD0AEF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9539C"/>
    <w:multiLevelType w:val="hybridMultilevel"/>
    <w:tmpl w:val="93F6A82A"/>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F6CD4"/>
    <w:multiLevelType w:val="hybridMultilevel"/>
    <w:tmpl w:val="02B2DD6E"/>
    <w:lvl w:ilvl="0" w:tplc="08AAA4E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22F5420D"/>
    <w:multiLevelType w:val="multilevel"/>
    <w:tmpl w:val="3D5C708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0B00DDD"/>
    <w:multiLevelType w:val="hybridMultilevel"/>
    <w:tmpl w:val="32A2D0FA"/>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EE3E13"/>
    <w:multiLevelType w:val="multilevel"/>
    <w:tmpl w:val="3D5C708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38D3027"/>
    <w:multiLevelType w:val="hybridMultilevel"/>
    <w:tmpl w:val="1C949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B54FF"/>
    <w:multiLevelType w:val="hybridMultilevel"/>
    <w:tmpl w:val="B4024AF4"/>
    <w:lvl w:ilvl="0" w:tplc="EEA24DD4">
      <w:start w:val="1"/>
      <w:numFmt w:val="decimal"/>
      <w:lvlText w:val="%1."/>
      <w:lvlJc w:val="left"/>
      <w:pPr>
        <w:tabs>
          <w:tab w:val="num" w:pos="720"/>
        </w:tabs>
        <w:ind w:left="720" w:hanging="360"/>
      </w:pPr>
      <w:rPr>
        <w:rFonts w:ascii="Times New Roman" w:eastAsia="DIN 2014 Light" w:hAnsi="Times New Roman" w:cs="Times New Roman"/>
      </w:rPr>
    </w:lvl>
    <w:lvl w:ilvl="1" w:tplc="B01A639A" w:tentative="1">
      <w:start w:val="1"/>
      <w:numFmt w:val="bullet"/>
      <w:lvlText w:val="•"/>
      <w:lvlJc w:val="left"/>
      <w:pPr>
        <w:tabs>
          <w:tab w:val="num" w:pos="1440"/>
        </w:tabs>
        <w:ind w:left="1440" w:hanging="360"/>
      </w:pPr>
      <w:rPr>
        <w:rFonts w:ascii="Arial" w:hAnsi="Arial" w:hint="default"/>
      </w:rPr>
    </w:lvl>
    <w:lvl w:ilvl="2" w:tplc="920C43E2" w:tentative="1">
      <w:start w:val="1"/>
      <w:numFmt w:val="bullet"/>
      <w:lvlText w:val="•"/>
      <w:lvlJc w:val="left"/>
      <w:pPr>
        <w:tabs>
          <w:tab w:val="num" w:pos="2160"/>
        </w:tabs>
        <w:ind w:left="2160" w:hanging="360"/>
      </w:pPr>
      <w:rPr>
        <w:rFonts w:ascii="Arial" w:hAnsi="Arial" w:hint="default"/>
      </w:rPr>
    </w:lvl>
    <w:lvl w:ilvl="3" w:tplc="B7A82F3C" w:tentative="1">
      <w:start w:val="1"/>
      <w:numFmt w:val="bullet"/>
      <w:lvlText w:val="•"/>
      <w:lvlJc w:val="left"/>
      <w:pPr>
        <w:tabs>
          <w:tab w:val="num" w:pos="2880"/>
        </w:tabs>
        <w:ind w:left="2880" w:hanging="360"/>
      </w:pPr>
      <w:rPr>
        <w:rFonts w:ascii="Arial" w:hAnsi="Arial" w:hint="default"/>
      </w:rPr>
    </w:lvl>
    <w:lvl w:ilvl="4" w:tplc="7C763BCE" w:tentative="1">
      <w:start w:val="1"/>
      <w:numFmt w:val="bullet"/>
      <w:lvlText w:val="•"/>
      <w:lvlJc w:val="left"/>
      <w:pPr>
        <w:tabs>
          <w:tab w:val="num" w:pos="3600"/>
        </w:tabs>
        <w:ind w:left="3600" w:hanging="360"/>
      </w:pPr>
      <w:rPr>
        <w:rFonts w:ascii="Arial" w:hAnsi="Arial" w:hint="default"/>
      </w:rPr>
    </w:lvl>
    <w:lvl w:ilvl="5" w:tplc="BDE44D0E" w:tentative="1">
      <w:start w:val="1"/>
      <w:numFmt w:val="bullet"/>
      <w:lvlText w:val="•"/>
      <w:lvlJc w:val="left"/>
      <w:pPr>
        <w:tabs>
          <w:tab w:val="num" w:pos="4320"/>
        </w:tabs>
        <w:ind w:left="4320" w:hanging="360"/>
      </w:pPr>
      <w:rPr>
        <w:rFonts w:ascii="Arial" w:hAnsi="Arial" w:hint="default"/>
      </w:rPr>
    </w:lvl>
    <w:lvl w:ilvl="6" w:tplc="7B8C460C" w:tentative="1">
      <w:start w:val="1"/>
      <w:numFmt w:val="bullet"/>
      <w:lvlText w:val="•"/>
      <w:lvlJc w:val="left"/>
      <w:pPr>
        <w:tabs>
          <w:tab w:val="num" w:pos="5040"/>
        </w:tabs>
        <w:ind w:left="5040" w:hanging="360"/>
      </w:pPr>
      <w:rPr>
        <w:rFonts w:ascii="Arial" w:hAnsi="Arial" w:hint="default"/>
      </w:rPr>
    </w:lvl>
    <w:lvl w:ilvl="7" w:tplc="8D16F5A0" w:tentative="1">
      <w:start w:val="1"/>
      <w:numFmt w:val="bullet"/>
      <w:lvlText w:val="•"/>
      <w:lvlJc w:val="left"/>
      <w:pPr>
        <w:tabs>
          <w:tab w:val="num" w:pos="5760"/>
        </w:tabs>
        <w:ind w:left="5760" w:hanging="360"/>
      </w:pPr>
      <w:rPr>
        <w:rFonts w:ascii="Arial" w:hAnsi="Arial" w:hint="default"/>
      </w:rPr>
    </w:lvl>
    <w:lvl w:ilvl="8" w:tplc="B76A0B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78618C"/>
    <w:multiLevelType w:val="hybridMultilevel"/>
    <w:tmpl w:val="26DADA58"/>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1511A8"/>
    <w:multiLevelType w:val="hybridMultilevel"/>
    <w:tmpl w:val="6F64E0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D465A9"/>
    <w:multiLevelType w:val="hybridMultilevel"/>
    <w:tmpl w:val="2A24367E"/>
    <w:lvl w:ilvl="0" w:tplc="4EC417D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25400D2"/>
    <w:multiLevelType w:val="hybridMultilevel"/>
    <w:tmpl w:val="FA8E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5165EB"/>
    <w:multiLevelType w:val="hybridMultilevel"/>
    <w:tmpl w:val="77AA4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EC417D6">
      <w:start w:val="1"/>
      <w:numFmt w:val="bullet"/>
      <w:lvlText w:val="-"/>
      <w:lvlJc w:val="left"/>
      <w:pPr>
        <w:ind w:left="748"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384298"/>
    <w:multiLevelType w:val="hybridMultilevel"/>
    <w:tmpl w:val="2A94C920"/>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B306D9"/>
    <w:multiLevelType w:val="hybridMultilevel"/>
    <w:tmpl w:val="BE345A4E"/>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B41F5A"/>
    <w:multiLevelType w:val="hybridMultilevel"/>
    <w:tmpl w:val="E2686FEC"/>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5"/>
  </w:num>
  <w:num w:numId="9">
    <w:abstractNumId w:val="4"/>
  </w:num>
  <w:num w:numId="10">
    <w:abstractNumId w:val="13"/>
  </w:num>
  <w:num w:numId="11">
    <w:abstractNumId w:val="14"/>
  </w:num>
  <w:num w:numId="12">
    <w:abstractNumId w:val="10"/>
  </w:num>
  <w:num w:numId="13">
    <w:abstractNumId w:val="12"/>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BB"/>
    <w:rsid w:val="0002734D"/>
    <w:rsid w:val="00036C48"/>
    <w:rsid w:val="00092BB8"/>
    <w:rsid w:val="000E6357"/>
    <w:rsid w:val="0010485F"/>
    <w:rsid w:val="0013045D"/>
    <w:rsid w:val="00151C6E"/>
    <w:rsid w:val="00155A3B"/>
    <w:rsid w:val="001746A8"/>
    <w:rsid w:val="00174EF5"/>
    <w:rsid w:val="00186057"/>
    <w:rsid w:val="001F1D7D"/>
    <w:rsid w:val="001F6E83"/>
    <w:rsid w:val="0020099A"/>
    <w:rsid w:val="00200ABB"/>
    <w:rsid w:val="0020128E"/>
    <w:rsid w:val="002237D2"/>
    <w:rsid w:val="00241483"/>
    <w:rsid w:val="00256549"/>
    <w:rsid w:val="00280F61"/>
    <w:rsid w:val="00290B5C"/>
    <w:rsid w:val="0029115E"/>
    <w:rsid w:val="002A3FFB"/>
    <w:rsid w:val="002A6288"/>
    <w:rsid w:val="002B3DD8"/>
    <w:rsid w:val="002C3D70"/>
    <w:rsid w:val="002D4740"/>
    <w:rsid w:val="002E29EB"/>
    <w:rsid w:val="00326C32"/>
    <w:rsid w:val="003361AC"/>
    <w:rsid w:val="003B2F51"/>
    <w:rsid w:val="004143B9"/>
    <w:rsid w:val="00415BF4"/>
    <w:rsid w:val="00416044"/>
    <w:rsid w:val="00457097"/>
    <w:rsid w:val="004B0A25"/>
    <w:rsid w:val="004D5730"/>
    <w:rsid w:val="00543ED4"/>
    <w:rsid w:val="005818ED"/>
    <w:rsid w:val="005A310A"/>
    <w:rsid w:val="005C1B5C"/>
    <w:rsid w:val="0063432C"/>
    <w:rsid w:val="00651124"/>
    <w:rsid w:val="0067787F"/>
    <w:rsid w:val="006A3062"/>
    <w:rsid w:val="006B2BFF"/>
    <w:rsid w:val="006E638D"/>
    <w:rsid w:val="006F1C40"/>
    <w:rsid w:val="00707600"/>
    <w:rsid w:val="00712698"/>
    <w:rsid w:val="007173E5"/>
    <w:rsid w:val="00724442"/>
    <w:rsid w:val="007327EF"/>
    <w:rsid w:val="0073501E"/>
    <w:rsid w:val="00784B90"/>
    <w:rsid w:val="007948E0"/>
    <w:rsid w:val="007978E2"/>
    <w:rsid w:val="00850AEC"/>
    <w:rsid w:val="0086407C"/>
    <w:rsid w:val="008D4CFA"/>
    <w:rsid w:val="00912BED"/>
    <w:rsid w:val="00954569"/>
    <w:rsid w:val="009616F5"/>
    <w:rsid w:val="0097643A"/>
    <w:rsid w:val="0098126C"/>
    <w:rsid w:val="009834A9"/>
    <w:rsid w:val="009A7C88"/>
    <w:rsid w:val="009B3062"/>
    <w:rsid w:val="009C26B1"/>
    <w:rsid w:val="00A91C38"/>
    <w:rsid w:val="00AD603D"/>
    <w:rsid w:val="00B54899"/>
    <w:rsid w:val="00B8574B"/>
    <w:rsid w:val="00B9366A"/>
    <w:rsid w:val="00B95B76"/>
    <w:rsid w:val="00BB3922"/>
    <w:rsid w:val="00BE1299"/>
    <w:rsid w:val="00BE2067"/>
    <w:rsid w:val="00BE48EE"/>
    <w:rsid w:val="00C212DB"/>
    <w:rsid w:val="00C408DE"/>
    <w:rsid w:val="00C57B74"/>
    <w:rsid w:val="00C73BB0"/>
    <w:rsid w:val="00CA35E9"/>
    <w:rsid w:val="00CC2C4A"/>
    <w:rsid w:val="00CC6AC6"/>
    <w:rsid w:val="00CD25A8"/>
    <w:rsid w:val="00CE4472"/>
    <w:rsid w:val="00CF491D"/>
    <w:rsid w:val="00D031F1"/>
    <w:rsid w:val="00D2790F"/>
    <w:rsid w:val="00D56735"/>
    <w:rsid w:val="00D62006"/>
    <w:rsid w:val="00D82977"/>
    <w:rsid w:val="00D856DD"/>
    <w:rsid w:val="00DD7E33"/>
    <w:rsid w:val="00E01CA2"/>
    <w:rsid w:val="00E046A7"/>
    <w:rsid w:val="00E849D8"/>
    <w:rsid w:val="00EA767C"/>
    <w:rsid w:val="00F00CEC"/>
    <w:rsid w:val="00F05F5D"/>
    <w:rsid w:val="00F1560A"/>
    <w:rsid w:val="00F406F6"/>
    <w:rsid w:val="00F41E9B"/>
    <w:rsid w:val="00F9031E"/>
    <w:rsid w:val="00F90530"/>
    <w:rsid w:val="00F90F15"/>
    <w:rsid w:val="00F953EE"/>
    <w:rsid w:val="00FB67B6"/>
    <w:rsid w:val="00FD2D3D"/>
    <w:rsid w:val="00FD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D584"/>
  <w15:docId w15:val="{EA438325-939A-41BE-B670-503B90A5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0AB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01E"/>
    <w:pPr>
      <w:spacing w:before="100" w:beforeAutospacing="1" w:after="100" w:afterAutospacing="1"/>
    </w:pPr>
    <w:rPr>
      <w:color w:val="auto"/>
    </w:rPr>
  </w:style>
  <w:style w:type="paragraph" w:styleId="a4">
    <w:name w:val="List Paragraph"/>
    <w:basedOn w:val="a"/>
    <w:uiPriority w:val="34"/>
    <w:qFormat/>
    <w:rsid w:val="0073501E"/>
    <w:pPr>
      <w:ind w:left="720"/>
      <w:contextualSpacing/>
    </w:pPr>
    <w:rPr>
      <w:color w:val="auto"/>
    </w:rPr>
  </w:style>
  <w:style w:type="character" w:styleId="a5">
    <w:name w:val="Hyperlink"/>
    <w:basedOn w:val="a0"/>
    <w:uiPriority w:val="99"/>
    <w:unhideWhenUsed/>
    <w:rsid w:val="00AD603D"/>
    <w:rPr>
      <w:color w:val="0563C1" w:themeColor="hyperlink"/>
      <w:u w:val="single"/>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rsid w:val="007327EF"/>
    <w:pPr>
      <w:autoSpaceDE w:val="0"/>
      <w:autoSpaceDN w:val="0"/>
    </w:pPr>
    <w:rPr>
      <w:color w:val="auto"/>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rsid w:val="007327EF"/>
    <w:rPr>
      <w:rFonts w:ascii="Times New Roman" w:eastAsia="Times New Roman" w:hAnsi="Times New Roman" w:cs="Times New Roman"/>
      <w:sz w:val="20"/>
      <w:szCs w:val="20"/>
      <w:lang w:eastAsia="ru-RU"/>
    </w:rPr>
  </w:style>
  <w:style w:type="character" w:styleId="a8">
    <w:name w:val="footnote reference"/>
    <w:uiPriority w:val="99"/>
    <w:rsid w:val="007327EF"/>
    <w:rPr>
      <w:rFonts w:cs="Times New Roman"/>
      <w:vertAlign w:val="superscript"/>
    </w:rPr>
  </w:style>
  <w:style w:type="paragraph" w:styleId="a9">
    <w:name w:val="Balloon Text"/>
    <w:basedOn w:val="a"/>
    <w:link w:val="aa"/>
    <w:uiPriority w:val="99"/>
    <w:semiHidden/>
    <w:unhideWhenUsed/>
    <w:rsid w:val="004143B9"/>
    <w:rPr>
      <w:rFonts w:ascii="Segoe UI" w:hAnsi="Segoe UI" w:cs="Segoe UI"/>
      <w:sz w:val="18"/>
      <w:szCs w:val="18"/>
    </w:rPr>
  </w:style>
  <w:style w:type="character" w:customStyle="1" w:styleId="aa">
    <w:name w:val="Текст выноски Знак"/>
    <w:basedOn w:val="a0"/>
    <w:link w:val="a9"/>
    <w:uiPriority w:val="99"/>
    <w:semiHidden/>
    <w:rsid w:val="004143B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65156">
      <w:bodyDiv w:val="1"/>
      <w:marLeft w:val="0"/>
      <w:marRight w:val="0"/>
      <w:marTop w:val="0"/>
      <w:marBottom w:val="0"/>
      <w:divBdr>
        <w:top w:val="none" w:sz="0" w:space="0" w:color="auto"/>
        <w:left w:val="none" w:sz="0" w:space="0" w:color="auto"/>
        <w:bottom w:val="none" w:sz="0" w:space="0" w:color="auto"/>
        <w:right w:val="none" w:sz="0" w:space="0" w:color="auto"/>
      </w:divBdr>
      <w:divsChild>
        <w:div w:id="1037588708">
          <w:marLeft w:val="0"/>
          <w:marRight w:val="1200"/>
          <w:marTop w:val="0"/>
          <w:marBottom w:val="0"/>
          <w:divBdr>
            <w:top w:val="none" w:sz="0" w:space="0" w:color="auto"/>
            <w:left w:val="none" w:sz="0" w:space="0" w:color="auto"/>
            <w:bottom w:val="none" w:sz="0" w:space="0" w:color="auto"/>
            <w:right w:val="none" w:sz="0" w:space="0" w:color="auto"/>
          </w:divBdr>
        </w:div>
        <w:div w:id="975644623">
          <w:marLeft w:val="0"/>
          <w:marRight w:val="0"/>
          <w:marTop w:val="0"/>
          <w:marBottom w:val="0"/>
          <w:divBdr>
            <w:top w:val="none" w:sz="0" w:space="0" w:color="auto"/>
            <w:left w:val="none" w:sz="0" w:space="0" w:color="auto"/>
            <w:bottom w:val="none" w:sz="0" w:space="0" w:color="auto"/>
            <w:right w:val="none" w:sz="0" w:space="0" w:color="auto"/>
          </w:divBdr>
        </w:div>
      </w:divsChild>
    </w:div>
    <w:div w:id="1743986237">
      <w:bodyDiv w:val="1"/>
      <w:marLeft w:val="0"/>
      <w:marRight w:val="0"/>
      <w:marTop w:val="0"/>
      <w:marBottom w:val="0"/>
      <w:divBdr>
        <w:top w:val="none" w:sz="0" w:space="0" w:color="auto"/>
        <w:left w:val="none" w:sz="0" w:space="0" w:color="auto"/>
        <w:bottom w:val="none" w:sz="0" w:space="0" w:color="auto"/>
        <w:right w:val="none" w:sz="0" w:space="0" w:color="auto"/>
      </w:divBdr>
      <w:divsChild>
        <w:div w:id="1885747821">
          <w:marLeft w:val="274"/>
          <w:marRight w:val="0"/>
          <w:marTop w:val="0"/>
          <w:marBottom w:val="0"/>
          <w:divBdr>
            <w:top w:val="none" w:sz="0" w:space="0" w:color="auto"/>
            <w:left w:val="none" w:sz="0" w:space="0" w:color="auto"/>
            <w:bottom w:val="none" w:sz="0" w:space="0" w:color="auto"/>
            <w:right w:val="none" w:sz="0" w:space="0" w:color="auto"/>
          </w:divBdr>
        </w:div>
        <w:div w:id="697435620">
          <w:marLeft w:val="274"/>
          <w:marRight w:val="0"/>
          <w:marTop w:val="0"/>
          <w:marBottom w:val="0"/>
          <w:divBdr>
            <w:top w:val="none" w:sz="0" w:space="0" w:color="auto"/>
            <w:left w:val="none" w:sz="0" w:space="0" w:color="auto"/>
            <w:bottom w:val="none" w:sz="0" w:space="0" w:color="auto"/>
            <w:right w:val="none" w:sz="0" w:space="0" w:color="auto"/>
          </w:divBdr>
        </w:div>
        <w:div w:id="1821118835">
          <w:marLeft w:val="274"/>
          <w:marRight w:val="0"/>
          <w:marTop w:val="0"/>
          <w:marBottom w:val="160"/>
          <w:divBdr>
            <w:top w:val="none" w:sz="0" w:space="0" w:color="auto"/>
            <w:left w:val="none" w:sz="0" w:space="0" w:color="auto"/>
            <w:bottom w:val="none" w:sz="0" w:space="0" w:color="auto"/>
            <w:right w:val="none" w:sz="0" w:space="0" w:color="auto"/>
          </w:divBdr>
        </w:div>
        <w:div w:id="1797412387">
          <w:marLeft w:val="274"/>
          <w:marRight w:val="0"/>
          <w:marTop w:val="0"/>
          <w:marBottom w:val="160"/>
          <w:divBdr>
            <w:top w:val="none" w:sz="0" w:space="0" w:color="auto"/>
            <w:left w:val="none" w:sz="0" w:space="0" w:color="auto"/>
            <w:bottom w:val="none" w:sz="0" w:space="0" w:color="auto"/>
            <w:right w:val="none" w:sz="0" w:space="0" w:color="auto"/>
          </w:divBdr>
        </w:div>
        <w:div w:id="1745447129">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Татьяна Александровна</dc:creator>
  <cp:lastModifiedBy>Синицына Ксения Романовна</cp:lastModifiedBy>
  <cp:revision>6</cp:revision>
  <dcterms:created xsi:type="dcterms:W3CDTF">2019-07-10T07:29:00Z</dcterms:created>
  <dcterms:modified xsi:type="dcterms:W3CDTF">2019-07-11T11:31:00Z</dcterms:modified>
</cp:coreProperties>
</file>